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5"/>
        <w:ind w:firstLine="42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rPr>
          <w:rFonts w:hint="eastAsia" w:ascii="宋体" w:hAnsi="宋体" w:eastAsia="宋体" w:cs="宋体"/>
          <w:b/>
          <w:bCs/>
          <w:color w:val="000000" w:themeColor="text1"/>
          <w:spacing w:val="0"/>
          <w:sz w:val="72"/>
          <w:szCs w:val="72"/>
          <w:highlight w:val="none"/>
          <w14:textFill>
            <w14:solidFill>
              <w14:schemeClr w14:val="tx1"/>
            </w14:solidFill>
          </w14:textFill>
        </w:rPr>
      </w:pP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招</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标</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文</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件</w:t>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r>
      <w:r/>
    </w:p>
    <w:p>
      <w:pPr>
        <w:pStyle w:val="1345"/>
        <w:ind w:firstLine="0"/>
        <w:jc w:val="center"/>
        <w:spacing w:before="0" w:after="0"/>
        <w:rPr>
          <w:rFonts w:hint="eastAsia" w:ascii="宋体" w:hAnsi="宋体" w:eastAsia="宋体" w:cs="宋体"/>
          <w:b/>
          <w:color w:val="000000" w:themeColor="text1"/>
          <w:spacing w:val="0"/>
          <w:sz w:val="32"/>
          <w:szCs w:val="32"/>
          <w:highlight w:val="none"/>
          <w:lang w:eastAsia="zh-CN"/>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项目名称：</w:t>
      </w:r>
      <w:r>
        <w:rPr>
          <w:rFonts w:hint="eastAsia" w:ascii="宋体" w:hAnsi="宋体" w:cs="宋体"/>
          <w:b/>
          <w:color w:val="000000" w:themeColor="text1"/>
          <w:spacing w:val="0"/>
          <w:sz w:val="32"/>
          <w:szCs w:val="32"/>
          <w:highlight w:val="none"/>
          <w:lang w:eastAsia="zh-CN"/>
          <w14:textFill>
            <w14:solidFill>
              <w14:schemeClr w14:val="tx1"/>
            </w14:solidFill>
          </w14:textFill>
        </w:rPr>
        <w:t xml:space="preserve">张家港市第一人民医院心电监测服务项目</w:t>
      </w:r>
      <w:r/>
    </w:p>
    <w:p>
      <w:pPr>
        <w:pStyle w:val="1345"/>
        <w:ind w:firstLine="0"/>
        <w:jc w:val="center"/>
        <w:spacing w:before="0" w:after="0"/>
        <w:rPr>
          <w:rFonts w:hint="eastAsia" w:ascii="宋体" w:hAnsi="宋体" w:eastAsia="宋体" w:cs="宋体"/>
          <w:b/>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标书编号：</w:t>
      </w:r>
      <w:r>
        <w:rPr>
          <w:rFonts w:hint="eastAsia" w:ascii="宋体" w:hAnsi="宋体" w:cs="宋体"/>
          <w:b/>
          <w:color w:val="000000" w:themeColor="text1"/>
          <w:spacing w:val="0"/>
          <w:sz w:val="32"/>
          <w:szCs w:val="32"/>
          <w:highlight w:val="none"/>
          <w:lang w:val="en-US" w:eastAsia="zh-CN"/>
          <w14:textFill>
            <w14:solidFill>
              <w14:schemeClr w14:val="tx1"/>
            </w14:solidFill>
          </w14:textFill>
        </w:rPr>
        <w:t xml:space="preserve">JSZC-320582-ZZHX-G2025-0032</w:t>
      </w:r>
      <w:r/>
    </w:p>
    <w:p>
      <w:pPr>
        <w:pStyle w:val="1345"/>
        <w:ind w:firstLine="0"/>
        <w:jc w:val="center"/>
        <w:spacing w:before="0" w:after="0"/>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项目属性：服务类</w:t>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r>
      <w:r/>
    </w:p>
    <w:p>
      <w:pPr>
        <w:pStyle w:val="1345"/>
        <w:ind w:firstLine="0"/>
        <w:jc w:val="center"/>
        <w:spacing w:before="0" w:after="0"/>
        <w:rPr>
          <w:rFonts w:hint="eastAsia" w:ascii="宋体" w:hAnsi="宋体" w:eastAsia="宋体" w:cs="宋体"/>
          <w:b/>
          <w:color w:val="000000" w:themeColor="text1"/>
          <w:spacing w:val="0"/>
          <w:sz w:val="32"/>
          <w:szCs w:val="32"/>
          <w:highlight w:val="none"/>
          <w14:textFill>
            <w14:solidFill>
              <w14:schemeClr w14:val="tx1"/>
            </w14:solidFill>
          </w14:textFill>
        </w:rPr>
      </w:pPr>
      <w:r/>
      <w:bookmarkStart w:id="0" w:name="EB8ecef8d8d20b42199abb5fc67b67d8bb"/>
      <w:r>
        <w:rPr>
          <w:rFonts w:hint="eastAsia" w:ascii="宋体" w:hAnsi="宋体" w:eastAsia="宋体" w:cs="宋体"/>
          <w:b/>
          <w:color w:val="000000" w:themeColor="text1"/>
          <w:spacing w:val="0"/>
          <w:sz w:val="32"/>
          <w:szCs w:val="32"/>
          <w:highlight w:val="none"/>
          <w14:textFill>
            <w14:solidFill>
              <w14:schemeClr w14:val="tx1"/>
            </w14:solidFill>
          </w14:textFill>
        </w:rPr>
        <w:t xml:space="preserve">苏州政合信咨询管理服务有限公司</w:t>
      </w:r>
      <w:bookmarkEnd w:id="0"/>
      <w:r/>
      <w:r/>
    </w:p>
    <w:p>
      <w:pPr>
        <w:pStyle w:val="1345"/>
        <w:ind w:firstLine="0"/>
        <w:jc w:val="center"/>
        <w:rPr>
          <w:rFonts w:hint="eastAsia" w:ascii="宋体" w:hAnsi="宋体" w:eastAsia="宋体" w:cs="宋体"/>
          <w:b/>
          <w:bCs/>
          <w:color w:val="000000" w:themeColor="text1"/>
          <w:spacing w:val="0"/>
          <w:sz w:val="32"/>
          <w:highlight w:val="none"/>
          <w14:textFill>
            <w14:solidFill>
              <w14:schemeClr w14:val="tx1"/>
            </w14:solidFill>
          </w14:textFill>
        </w:rPr>
      </w:pPr>
      <w:r/>
      <w:bookmarkStart w:id="1" w:name="EB52307051e0d04806912e5842f73c8551"/>
      <w:r>
        <w:rPr>
          <w:rFonts w:hint="eastAsia" w:ascii="宋体" w:hAnsi="宋体" w:eastAsia="宋体" w:cs="宋体"/>
          <w:b/>
          <w:bCs/>
          <w:color w:val="000000" w:themeColor="text1"/>
          <w:spacing w:val="0"/>
          <w:sz w:val="32"/>
          <w:highlight w:val="none"/>
          <w14:textFill>
            <w14:solidFill>
              <w14:schemeClr w14:val="tx1"/>
            </w14:solidFill>
          </w14:textFill>
        </w:rPr>
        <w:t xml:space="preserve">202</w:t>
      </w:r>
      <w:r>
        <w:rPr>
          <w:rFonts w:hint="eastAsia" w:ascii="宋体" w:hAnsi="宋体" w:eastAsia="宋体" w:cs="宋体"/>
          <w:b/>
          <w:bCs/>
          <w:color w:val="000000" w:themeColor="text1"/>
          <w:spacing w:val="0"/>
          <w:sz w:val="32"/>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0"/>
          <w:sz w:val="32"/>
          <w:highlight w:val="none"/>
          <w14:textFill>
            <w14:solidFill>
              <w14:schemeClr w14:val="tx1"/>
            </w14:solidFill>
          </w14:textFill>
        </w:rPr>
        <w:t xml:space="preserve">年</w:t>
      </w:r>
      <w:r>
        <w:rPr>
          <w:rFonts w:hint="eastAsia" w:ascii="宋体" w:hAnsi="宋体" w:cs="宋体"/>
          <w:b/>
          <w:bCs/>
          <w:color w:val="000000" w:themeColor="text1"/>
          <w:spacing w:val="0"/>
          <w:sz w:val="32"/>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pacing w:val="0"/>
          <w:sz w:val="32"/>
          <w:highlight w:val="none"/>
          <w14:textFill>
            <w14:solidFill>
              <w14:schemeClr w14:val="tx1"/>
            </w14:solidFill>
          </w14:textFill>
        </w:rPr>
        <w:t xml:space="preserve">月</w:t>
      </w:r>
      <w:r>
        <w:rPr>
          <w:rFonts w:hint="eastAsia" w:ascii="宋体" w:hAnsi="宋体" w:cs="宋体"/>
          <w:b/>
          <w:bCs/>
          <w:color w:val="000000" w:themeColor="text1"/>
          <w:spacing w:val="0"/>
          <w:sz w:val="32"/>
          <w:highlight w:val="none"/>
          <w:lang w:val="en-US" w:eastAsia="zh-CN"/>
          <w14:textFill>
            <w14:solidFill>
              <w14:schemeClr w14:val="tx1"/>
            </w14:solidFill>
          </w14:textFill>
        </w:rPr>
        <w:t xml:space="preserve">25</w:t>
      </w:r>
      <w:r>
        <w:rPr>
          <w:rFonts w:hint="eastAsia" w:ascii="宋体" w:hAnsi="宋体" w:eastAsia="宋体" w:cs="宋体"/>
          <w:b/>
          <w:color w:val="000000" w:themeColor="text1"/>
          <w:spacing w:val="0"/>
          <w:sz w:val="32"/>
          <w:szCs w:val="32"/>
          <w:highlight w:val="none"/>
          <w14:textFill>
            <w14:solidFill>
              <w14:schemeClr w14:val="tx1"/>
            </w14:solidFill>
          </w14:textFill>
        </w:rPr>
        <w:t xml:space="preserve">日</w:t>
      </w:r>
      <w:bookmarkEnd w:id="1"/>
      <w:r/>
      <w:r/>
    </w:p>
    <w:p>
      <w:pPr>
        <w:spacing w:before="120" w:after="120" w:line="360" w:lineRule="auto"/>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r>
      <w:r/>
    </w:p>
    <w:p>
      <w:pPr>
        <w:pStyle w:val="1346"/>
        <w:rPr>
          <w:rFonts w:hint="eastAsia" w:ascii="宋体" w:hAnsi="宋体" w:eastAsia="宋体" w:cs="宋体"/>
          <w:color w:val="000000" w:themeColor="text1"/>
          <w:spacing w:val="0"/>
          <w:highlight w:val="none"/>
          <w14:textFill>
            <w14:solidFill>
              <w14:schemeClr w14:val="tx1"/>
            </w14:solidFill>
          </w14:textFill>
        </w:rPr>
        <w:sectPr>
          <w:headerReference w:type="default" r:id="rId8"/>
          <w:footerReference w:type="even" r:id="rId25"/>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000000" w:themeColor="text1"/>
          <w:spacing w:val="0"/>
          <w:highlight w:val="none"/>
          <w14:textFill>
            <w14:solidFill>
              <w14:schemeClr w14:val="tx1"/>
            </w14:solidFill>
          </w14:textFill>
        </w:rPr>
      </w:r>
      <w:r/>
    </w:p>
    <w:p>
      <w:pPr>
        <w:jc w:val="center"/>
        <w:keepLines w:val="0"/>
        <w:keepNext w:val="0"/>
        <w:pageBreakBefore w:val="0"/>
        <w:spacing w:before="181" w:after="181"/>
        <w:widowControl w:val="off"/>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总  目  录</w:t>
      </w:r>
      <w:r/>
    </w:p>
    <w:p>
      <w:pPr>
        <w:pStyle w:val="1165"/>
        <w:keepLines w:val="0"/>
        <w:keepNext w:val="0"/>
        <w:pageBreakBefore w:val="0"/>
        <w:spacing w:line="440" w:lineRule="atLeas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TOC \o "1-2" \h \z \u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spacing w:val="0"/>
          <w:sz w:val="28"/>
          <w:szCs w:val="28"/>
          <w:highlight w:val="none"/>
        </w:rPr>
        <w:instrText xml:space="preserve"> HYPERLINK \l _Toc31185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_Toc31185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_Toc10497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一、项目基本情况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_Toc10497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_Toc26422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二、申请人的资格要求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_Toc26422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_Toc22844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三、获取招标文件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_Toc3432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四、提交投标文件截止时间、开标时间和地点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_Toc24989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五、公告期限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_Toc24989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_Toc9346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六、其他补充事宜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_Toc9346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_Toc10290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七、对本次招标提出询问，请按以下方式联系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_Toc10290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65"/>
        <w:keepLines w:val="0"/>
        <w:keepNext w:val="0"/>
        <w:pageBreakBefore w:val="0"/>
        <w:spacing w:line="440" w:lineRule="atLeas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spacing w:val="0"/>
          <w:sz w:val="28"/>
          <w:szCs w:val="28"/>
          <w:highlight w:val="none"/>
        </w:rPr>
        <w:instrText xml:space="preserve"> HYPERLINK \l _Toc22327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_Toc22327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w:t>
      </w:r>
      <w:r>
        <w:rPr>
          <w:rFonts w:hint="eastAsia" w:ascii="宋体" w:hAnsi="宋体" w:eastAsia="宋体" w:cs="宋体"/>
          <w:b/>
          <w:bCs/>
          <w:sz w:val="28"/>
          <w:szCs w:val="28"/>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_Toc32344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一、总则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_Toc32344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_Toc1306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二、招标文件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_Toc29270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三、投标文件的编制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_Toc29270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_Toc1101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四、投标文件的制作、上传、递交</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_Toc26328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五、开标与评标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_Toc17815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六、定标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_Toc17815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_Toc26410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七、授予合同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_Toc26410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65"/>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spacing w:val="0"/>
          <w:sz w:val="28"/>
          <w:szCs w:val="28"/>
          <w:highlight w:val="none"/>
        </w:rPr>
        <w:instrText xml:space="preserve"> HYPERLINK \l _Toc5675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第三章 合同条款及格式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_Toc5675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19</w:t>
      </w:r>
      <w:r>
        <w:rPr>
          <w:rFonts w:hint="eastAsia" w:ascii="宋体" w:hAnsi="宋体" w:eastAsia="宋体" w:cs="宋体"/>
          <w:b/>
          <w:bCs/>
          <w:sz w:val="28"/>
          <w:szCs w:val="28"/>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_Toc9831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一、服务内容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_Toc9831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_Toc21672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二、合同金额</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_Toc21672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_Toc18675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三、</w:t>
      </w:r>
      <w:r>
        <w:rPr>
          <w:rFonts w:hint="eastAsia" w:ascii="宋体" w:hAnsi="宋体" w:eastAsia="宋体" w:cs="宋体"/>
          <w:bCs/>
          <w:spacing w:val="0"/>
          <w:sz w:val="28"/>
          <w:szCs w:val="28"/>
          <w:highlight w:val="none"/>
        </w:rPr>
        <w:t xml:space="preserve">履约保证金</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_Toc18675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_Toc23323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四、转包或分包</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_Toc23323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_Toc21242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五、服务期限及服务地点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_Toc11784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六、支付方式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_Toc11218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七、税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_Toc11218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_Toc16580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八、管理事项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_Toc16580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_Toc25963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九、双方权利义务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_Toc25963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_Toc25005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十、服务质量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_Toc25005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_Toc12337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十一、违约责任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_Toc12337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_Toc13564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十二、不可抗力事件处理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_Toc13564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_Toc26378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十三、诉讼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_Toc6979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十四、合同其他文件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_Toc6979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_Toc15456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lang w:val="en-US" w:eastAsia="zh-CN"/>
        </w:rPr>
        <w:t xml:space="preserve">十五、合同生效及其它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_Toc15456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65"/>
        <w:keepLines w:val="0"/>
        <w:keepNext w:val="0"/>
        <w:pageBreakBefore w:val="0"/>
        <w:spacing w:line="440" w:lineRule="atLeas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spacing w:val="0"/>
          <w:sz w:val="28"/>
          <w:szCs w:val="28"/>
          <w:highlight w:val="none"/>
        </w:rPr>
        <w:instrText xml:space="preserve"> HYPERLINK \l _Toc2269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第四章 项目需求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_Toc2269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35</w:t>
      </w:r>
      <w:r>
        <w:rPr>
          <w:rFonts w:hint="eastAsia" w:ascii="宋体" w:hAnsi="宋体" w:eastAsia="宋体" w:cs="宋体"/>
          <w:b/>
          <w:bCs/>
          <w:sz w:val="28"/>
          <w:szCs w:val="28"/>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_Toc6228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一、清单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_Toc6228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_Toc15832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bidi="ar-SA"/>
        </w:rPr>
        <w:t xml:space="preserve">二、</w:t>
      </w:r>
      <w:r>
        <w:rPr>
          <w:rFonts w:hint="eastAsia" w:ascii="宋体" w:hAnsi="宋体" w:eastAsia="宋体" w:cs="宋体"/>
          <w:spacing w:val="0"/>
          <w:sz w:val="28"/>
          <w:szCs w:val="28"/>
          <w:highlight w:val="none"/>
        </w:rPr>
        <w:t xml:space="preserve">技术要求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_Toc15832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36</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_Toc31104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三、商务条款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_Toc31104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43</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_Toc2587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四、其他部分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_Toc2587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45</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65"/>
        <w:keepLines w:val="0"/>
        <w:keepNext w:val="0"/>
        <w:pageBreakBefore w:val="0"/>
        <w:spacing w:line="440" w:lineRule="atLeas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spacing w:val="0"/>
          <w:sz w:val="28"/>
          <w:szCs w:val="28"/>
          <w:highlight w:val="none"/>
        </w:rPr>
        <w:instrText xml:space="preserve"> HYPERLINK \l _Toc29954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第五章 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_Toc29954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48</w:t>
      </w:r>
      <w:r>
        <w:rPr>
          <w:rFonts w:hint="eastAsia" w:ascii="宋体" w:hAnsi="宋体" w:eastAsia="宋体" w:cs="宋体"/>
          <w:b/>
          <w:bCs/>
          <w:sz w:val="28"/>
          <w:szCs w:val="28"/>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_Toc26585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一、评标方法与定标原则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_Toc6049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_Toc6049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65"/>
        <w:keepLines w:val="0"/>
        <w:keepNext w:val="0"/>
        <w:pageBreakBefore w:val="0"/>
        <w:spacing w:line="440" w:lineRule="atLeas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spacing w:val="0"/>
          <w:sz w:val="28"/>
          <w:szCs w:val="28"/>
          <w:highlight w:val="none"/>
        </w:rPr>
        <w:instrText xml:space="preserve"> HYPERLINK \l _Toc18068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第六章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_Toc18068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52</w:t>
      </w:r>
      <w:r>
        <w:rPr>
          <w:rFonts w:hint="eastAsia" w:ascii="宋体" w:hAnsi="宋体" w:eastAsia="宋体" w:cs="宋体"/>
          <w:b/>
          <w:bCs/>
          <w:sz w:val="28"/>
          <w:szCs w:val="28"/>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_Toc14662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一、封面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_Toc14662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53</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_Toc29501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二、投标函格式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_Toc29501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_Toc7463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三、开标一览表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_Toc7463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_Toc11817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四、资格证明文件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_Toc11817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56</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_Toc19537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五、投标配置及分项报价表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_Toc19537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72</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_Toc17920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六、第四章项目需求中实质性要求响应对照表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_Toc17920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74</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_Toc17778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七、服务方案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_Toc17778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77</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_Toc1741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八、投标人情况介绍</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78</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_Toc13336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九、技术要求响应及偏离表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_Toc13336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83</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_Toc1747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十、商务条款响应及偏离表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85</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_Toc12990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十一、其他材料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_Toc12990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86</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171"/>
        <w:keepLines w:val="0"/>
        <w:keepNext w:val="0"/>
        <w:pageBreakBefore w:val="0"/>
        <w:spacing w:line="440" w:lineRule="atLeas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spacing w:val="0"/>
          <w:sz w:val="28"/>
          <w:szCs w:val="28"/>
          <w:highlight w:val="none"/>
        </w:rPr>
        <w:instrText xml:space="preserve"> HYPERLINK \l _Toc26331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十二、承诺函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87</w:t>
      </w:r>
      <w:r>
        <w:rPr>
          <w:rFonts w:hint="eastAsia" w:ascii="宋体" w:hAnsi="宋体" w:eastAsia="宋体" w:cs="宋体"/>
          <w:sz w:val="28"/>
          <w:szCs w:val="28"/>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keepLines w:val="0"/>
        <w:keepNext w:val="0"/>
        <w:pageBreakBefore w:val="0"/>
        <w:spacing w:line="440" w:lineRule="atLeast"/>
        <w:widowControl w:val="off"/>
        <w:tabs>
          <w:tab w:val="left" w:pos="1440" w:leader="none"/>
        </w:tabs>
        <w:rPr>
          <w:rFonts w:hint="eastAsia" w:ascii="宋体" w:hAnsi="宋体" w:eastAsia="宋体" w:cs="宋体"/>
          <w:b/>
          <w:bCs/>
          <w:color w:val="000000" w:themeColor="text1"/>
          <w:spacing w:val="0"/>
          <w:sz w:val="24"/>
          <w:szCs w:val="24"/>
          <w:highlight w:val="none"/>
          <w14:textFill>
            <w14:solidFill>
              <w14:schemeClr w14:val="tx1"/>
            </w14:solidFill>
          </w14:textFill>
        </w:rPr>
        <w:sectPr>
          <w:headerReference w:type="default" r:id="rId9"/>
          <w:headerReference w:type="first" r:id="rId10"/>
          <w:footerReference w:type="default" r:id="rId26"/>
          <w:footerReference w:type="even" r:id="rId27"/>
          <w:footerReference w:type="first" r:id="rId28"/>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347"/>
        <w:spacing w:before="313" w:after="313"/>
        <w:rPr>
          <w:rFonts w:hint="eastAsia" w:ascii="宋体" w:hAnsi="宋体" w:eastAsia="宋体" w:cs="宋体"/>
          <w:color w:val="000000" w:themeColor="text1"/>
          <w:spacing w:val="0"/>
          <w:highlight w:val="none"/>
          <w14:textFill>
            <w14:solidFill>
              <w14:schemeClr w14:val="tx1"/>
            </w14:solidFill>
          </w14:textFill>
        </w:rPr>
      </w:pPr>
      <w:r/>
      <w:bookmarkStart w:id="2" w:name="_Toc31185"/>
      <w:r>
        <w:rPr>
          <w:rFonts w:hint="eastAsia" w:ascii="宋体" w:hAnsi="宋体" w:eastAsia="宋体" w:cs="宋体"/>
          <w:color w:val="000000" w:themeColor="text1"/>
          <w:spacing w:val="0"/>
          <w:highlight w:val="none"/>
          <w14:textFill>
            <w14:solidFill>
              <w14:schemeClr w14:val="tx1"/>
            </w14:solidFill>
          </w14:textFill>
        </w:rPr>
        <w:t xml:space="preserve">第一章  投标邀请</w:t>
      </w:r>
      <w:bookmarkEnd w:id="2"/>
      <w:r/>
      <w:r/>
    </w:p>
    <w:tbl>
      <w:tblPr>
        <w:tblStyle w:val="1348"/>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9962" w:type="dxa"/>
            <w:vAlign w:val="top"/>
            <w:textDirection w:val="lrTb"/>
            <w:noWrap w:val="false"/>
          </w:tcPr>
          <w:p>
            <w:pPr>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项目概况</w:t>
            </w:r>
            <w:r/>
          </w:p>
          <w:p>
            <w:pPr>
              <w:ind w:firstLine="482"/>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lang w:eastAsia="zh-CN"/>
                <w14:textFill>
                  <w14:solidFill>
                    <w14:schemeClr w14:val="tx1"/>
                  </w14:solidFill>
                </w14:textFill>
              </w:rPr>
              <w:t xml:space="preserve">张家港市第一人民医院心电监测服务项目</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 JSZC-320582-ZZHX-G2025-0032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招标项目的潜在投标人应在苏采云政府采购一体化平台（网址：http://jszfcg.jsczt.cn/）获取招标文件，并于</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2025-</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16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（北京时间）前递交投标文件。</w:t>
            </w:r>
            <w:r/>
          </w:p>
        </w:tc>
      </w:tr>
    </w:tbl>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3" w:name="_Toc10497"/>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一、项目基本情况</w:t>
      </w:r>
      <w:bookmarkEnd w:id="3"/>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项目编号：</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JSZC-320582-ZZHX-G2025-0032</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项目名称：</w:t>
      </w:r>
      <w:r>
        <w:rPr>
          <w:rFonts w:hint="eastAsia" w:ascii="宋体" w:hAnsi="宋体" w:cs="宋体"/>
          <w:color w:val="000000" w:themeColor="text1"/>
          <w:spacing w:val="0"/>
          <w:sz w:val="24"/>
          <w:szCs w:val="24"/>
          <w:highlight w:val="none"/>
          <w:lang w:eastAsia="zh-CN"/>
          <w14:textFill>
            <w14:solidFill>
              <w14:schemeClr w14:val="tx1"/>
            </w14:solidFill>
          </w14:textFill>
        </w:rPr>
        <w:t xml:space="preserve">张家港市第一人民医院心电监测服务项目</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预算金额：</w:t>
      </w:r>
      <w:bookmarkStart w:id="4" w:name="EB1a0e1eba70434d918dcf5b8e03079bcd"/>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200</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元</w:t>
      </w:r>
      <w:bookmarkEnd w:id="4"/>
      <w:r>
        <w:rPr>
          <w:rFonts w:hint="eastAsia" w:ascii="宋体" w:hAnsi="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100万元/年）</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最高限价</w:t>
      </w:r>
      <w:bookmarkStart w:id="5" w:name="EB974fe10e1b834f1ab596364ccab62ca9"/>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200</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元</w:t>
      </w:r>
      <w:bookmarkEnd w:id="5"/>
      <w:r>
        <w:rPr>
          <w:rFonts w:hint="eastAsia" w:ascii="宋体" w:hAnsi="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100万元/年）</w:t>
      </w:r>
      <w:r/>
    </w:p>
    <w:p>
      <w:pPr>
        <w:pStyle w:val="1181"/>
        <w:ind w:firstLine="482"/>
        <w:keepLines w:val="0"/>
        <w:keepNext w:val="0"/>
        <w:pageBreakBefore w:val="0"/>
        <w:spacing w:line="520" w:lineRule="exact"/>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采购需求：</w:t>
      </w:r>
      <w:r>
        <w:rPr>
          <w:rFonts w:hint="eastAsia" w:cs="宋体"/>
          <w:color w:val="000000" w:themeColor="text1"/>
          <w:spacing w:val="0"/>
          <w:sz w:val="24"/>
          <w:szCs w:val="24"/>
          <w:highlight w:val="none"/>
          <w:lang w:val="en-US" w:eastAsia="zh-CN"/>
          <w14:textFill>
            <w14:solidFill>
              <w14:schemeClr w14:val="tx1"/>
            </w14:solidFill>
          </w14:textFill>
        </w:rPr>
        <w:t xml:space="preserve">张家港市第一人民医院</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所需的</w:t>
      </w:r>
      <w:r>
        <w:rPr>
          <w:rFonts w:hint="eastAsia" w:cs="宋体"/>
          <w:color w:val="000000" w:themeColor="text1"/>
          <w:spacing w:val="0"/>
          <w:sz w:val="24"/>
          <w:szCs w:val="24"/>
          <w:highlight w:val="none"/>
          <w:lang w:val="en-US" w:eastAsia="zh-CN"/>
          <w14:textFill>
            <w14:solidFill>
              <w14:schemeClr w14:val="tx1"/>
            </w14:solidFill>
          </w14:textFill>
        </w:rPr>
        <w:t xml:space="preserve">心电监测服务项目</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合同履行期限</w:t>
      </w:r>
      <w:bookmarkStart w:id="6" w:name="EBc1f6639250fe4c2294880160fa37a7de"/>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bookmarkEnd w:id="6"/>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自合同签订之日起二年或实付金额达到合同签订金额（以先达到合同时间或金额截止）。</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（合同一年一签，根据考核结果续签合同，具体以合同签订时间为准）</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本项目（是/否）接受联合体投标：否。</w:t>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7" w:name="_Toc26422"/>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二、申请人的资格要求</w:t>
      </w:r>
      <w:bookmarkEnd w:id="7"/>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满足《中华人民共和国政府采购法》第二十二条规定</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2.财务状况报告（成立不满一年不需提供）。</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3.依法缴纳税收和社会保障资金的相关材料（如依法享受缓缴、免缴税收、社会保障资金的，应提供相关证明材料）。</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6.授权委托书（被授权人非法定代表人的，应提供授权委托书；被授权人是法定代表人的，应提供授权委托书或法定代表人身份证明书）。</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7.关于资格证明文件的书面承诺。</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落实政府采购政策需满足的资格要求：</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1.本项目专门面向中小企业采购</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注：</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本项目的特定资格要求：</w:t>
      </w:r>
      <w:r/>
    </w:p>
    <w:p>
      <w:pPr>
        <w:ind w:firstLine="480"/>
        <w:keepLines w:val="0"/>
        <w:keepNext w:val="0"/>
        <w:pageBreakBefore w:val="0"/>
        <w:spacing w:line="520" w:lineRule="exact"/>
        <w:widowControl/>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1.具有有效期内的《医疗机构执业许可证》，许可范围包含心电诊断。</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2.单位负责人为同一人或者存在直接控股、管理关系的不同供应商，不得参加同一合同项下的政府采购活动。</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3.未被“信用中国”网站（www.creditchina.gov.cn）列入失信被执行人、重大税收违法案件当事人名单、政府采购严重失信行为记录名单。</w:t>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8" w:name="_Toc22844"/>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三、获取招标文件</w:t>
      </w:r>
      <w:bookmarkEnd w:id="8"/>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时间：自招标文件公告发布之日起5个工作日</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地点：苏采云政府采购一体化平台（网址：http://jszfcg.jsczt.cn/）</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苏采云政府采购一体化平台（网址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http://jszfcg.jsczt.cn/）</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售价：0.00元</w:t>
      </w:r>
      <w:r/>
    </w:p>
    <w:p>
      <w:pPr>
        <w:keepLines w:val="0"/>
        <w:keepNext w:val="0"/>
        <w:pageBreakBefore w:val="0"/>
        <w:spacing w:line="520" w:lineRule="exact"/>
        <w:shd w:val="clear" w:color="auto" w:fill="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9" w:name="_Toc3432"/>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四、提交投标文件截止时间、开标时间和地点</w:t>
      </w:r>
      <w:bookmarkEnd w:id="9"/>
      <w:r/>
      <w:r/>
    </w:p>
    <w:p>
      <w:pPr>
        <w:pStyle w:val="1341"/>
        <w:ind w:left="0" w:right="0" w:firstLine="508"/>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t xml:space="preserve">时间：</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2025年</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月</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16</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日1</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0（北京时间）</w:t>
      </w:r>
      <w:r/>
    </w:p>
    <w:p>
      <w:pPr>
        <w:pStyle w:val="1341"/>
        <w:ind w:left="0" w:right="0" w:firstLine="508"/>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t xml:space="preserve">地点：苏采云系统</w:t>
      </w:r>
      <w:r/>
    </w:p>
    <w:p>
      <w:pPr>
        <w:keepLines w:val="0"/>
        <w:keepNext w:val="0"/>
        <w:pageBreakBefore w:val="0"/>
        <w:spacing w:line="520" w:lineRule="exact"/>
        <w:shd w:val="clear" w:color="auto" w:fill="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0" w:name="_Toc24989"/>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五、公告期限</w:t>
      </w:r>
      <w:bookmarkEnd w:id="10"/>
      <w:r/>
      <w:r/>
    </w:p>
    <w:p>
      <w:pPr>
        <w:ind w:firstLine="555"/>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自本公告发布之日起5个工作日。</w:t>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1" w:name="_Toc9346"/>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六、其他补充事宜</w:t>
      </w:r>
      <w:bookmarkEnd w:id="11"/>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1.CA证书办理</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2.参与采购活动</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3.电子投标准备</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在系统操作过程中如有疑问，请按以下方式联系：</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注册咨询：18261002950；</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CA技术咨询电话：400-608-6099；</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签章使用问题：025-83633811、025-83633812、15380932027、15371015030；</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系统使用指导与咨询：18261002950、0512-69820854；QQ：3048755361、1315179389、895706745。</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.招标文件澄清或者修改内容的告知方式：招标文件的实质性变动或修改将在政府采购公告媒体网通知，投标人可自行下载。</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.本次招标不收取投标保证金。</w:t>
      </w:r>
      <w:r/>
    </w:p>
    <w:p>
      <w:pPr>
        <w:pStyle w:val="1341"/>
        <w:ind w:left="0" w:right="0" w:firstLine="480"/>
        <w:jc w:val="left"/>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.本项目不允许进口产品投标。</w:t>
      </w:r>
      <w:r/>
    </w:p>
    <w:p>
      <w:pPr>
        <w:keepLines w:val="0"/>
        <w:keepNext w:val="0"/>
        <w:pageBreakBefore w:val="0"/>
        <w:spacing w:line="520" w:lineRule="exact"/>
        <w:shd w:val="clear" w:color="auto" w:fill="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2" w:name="_Toc10290"/>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七、对本次招标提出询问，请按以下方式联系</w:t>
      </w:r>
      <w:bookmarkEnd w:id="12"/>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1．采购人信息</w:t>
      </w:r>
      <w:r/>
    </w:p>
    <w:p>
      <w:pPr>
        <w:pStyle w:val="1341"/>
        <w:ind w:left="0" w:right="0" w:firstLine="480"/>
        <w:keepLines w:val="0"/>
        <w:keepNext w:val="0"/>
        <w:pageBreakBefore w:val="0"/>
        <w:spacing w:before="0" w:beforeAutospacing="0" w:after="0" w:afterAutospacing="0"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单位名称：</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张家港市第一人民医院</w:t>
      </w:r>
      <w:r/>
    </w:p>
    <w:p>
      <w:pPr>
        <w:pStyle w:val="1341"/>
        <w:ind w:left="0" w:right="0" w:firstLine="480"/>
        <w:keepLines w:val="0"/>
        <w:keepNext w:val="0"/>
        <w:pageBreakBefore w:val="0"/>
        <w:spacing w:before="0" w:beforeAutospacing="0" w:after="0" w:afterAutospacing="0"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单位地址：</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张家港市暨阳西路68号</w:t>
      </w:r>
      <w:r/>
    </w:p>
    <w:p>
      <w:pPr>
        <w:pStyle w:val="1341"/>
        <w:ind w:left="0" w:right="0" w:firstLine="480"/>
        <w:keepLines w:val="0"/>
        <w:keepNext w:val="0"/>
        <w:pageBreakBefore w:val="0"/>
        <w:spacing w:before="0" w:beforeAutospacing="0" w:after="0" w:afterAutospacing="0"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联系人：闻娟</w:t>
      </w:r>
      <w:r/>
    </w:p>
    <w:p>
      <w:pPr>
        <w:pStyle w:val="1341"/>
        <w:ind w:left="0" w:right="0" w:firstLine="480"/>
        <w:keepLines w:val="0"/>
        <w:keepNext w:val="0"/>
        <w:pageBreakBefore w:val="0"/>
        <w:spacing w:before="0" w:beforeAutospacing="0" w:after="0" w:afterAutospacing="0"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联系电话：0512-56919834</w:t>
      </w:r>
      <w:r/>
    </w:p>
    <w:p>
      <w:pPr>
        <w:ind w:firstLine="480"/>
        <w:jc w:val="left"/>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2．采购代理机构信息</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名称：</w:t>
      </w:r>
      <w:bookmarkStart w:id="13" w:name="EB87bd51c9d802413bae3fcd0e825858ca"/>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13"/>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地址：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张家港市长兴路13号1号楼2楼</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联系</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周子颖</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pacing w:val="0"/>
          <w:sz w:val="24"/>
          <w:szCs w:val="24"/>
          <w:highlight w:val="none"/>
          <w14:textFill>
            <w14:solidFill>
              <w14:schemeClr w14:val="tx1"/>
            </w14:solidFill>
          </w14:textFill>
        </w:rPr>
        <w:t xml:space="preserve">0512-58918185、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18260250207</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3．项目联系方式</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周子颖</w:t>
      </w:r>
      <w:r/>
    </w:p>
    <w:p>
      <w:pPr>
        <w:ind w:firstLine="480"/>
        <w:keepLines w:val="0"/>
        <w:keepNext w:val="0"/>
        <w:pageBreakBefore w:val="0"/>
        <w:spacing w:line="520" w:lineRule="exact"/>
        <w:widowControl/>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电话：0512-58918185、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18260250207</w:t>
      </w:r>
      <w:r/>
    </w:p>
    <w:p>
      <w:pPr>
        <w:pStyle w:val="1336"/>
        <w:rPr>
          <w:rFonts w:hint="eastAsia" w:ascii="宋体" w:hAnsi="宋体" w:eastAsia="宋体" w:cs="宋体"/>
          <w:color w:val="000000" w:themeColor="text1"/>
          <w:spacing w:val="0"/>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pacing w:val="0"/>
          <w:highlight w:val="none"/>
          <w14:textFill>
            <w14:solidFill>
              <w14:schemeClr w14:val="tx1"/>
            </w14:solidFill>
          </w14:textFill>
        </w:rPr>
      </w:r>
      <w:r/>
    </w:p>
    <w:p>
      <w:pPr>
        <w:pStyle w:val="1347"/>
        <w:keepLines w:val="0"/>
        <w:keepNext w:val="0"/>
        <w:pageBreakBefore w:val="0"/>
        <w:spacing w:before="313" w:after="313" w:line="520" w:lineRule="exact"/>
        <w:rPr>
          <w:rFonts w:hint="eastAsia" w:ascii="宋体" w:hAnsi="宋体" w:eastAsia="宋体" w:cs="宋体"/>
          <w:color w:val="000000" w:themeColor="text1"/>
          <w:spacing w:val="0"/>
          <w:highlight w:val="none"/>
          <w14:textFill>
            <w14:solidFill>
              <w14:schemeClr w14:val="tx1"/>
            </w14:solidFill>
          </w14:textFill>
        </w:rPr>
      </w:pPr>
      <w:r/>
      <w:bookmarkStart w:id="14" w:name="_Toc22327"/>
      <w:r>
        <w:rPr>
          <w:rFonts w:hint="eastAsia" w:ascii="宋体" w:hAnsi="宋体" w:eastAsia="宋体" w:cs="宋体"/>
          <w:color w:val="000000" w:themeColor="text1"/>
          <w:spacing w:val="0"/>
          <w:highlight w:val="none"/>
          <w14:textFill>
            <w14:solidFill>
              <w14:schemeClr w14:val="tx1"/>
            </w14:solidFill>
          </w14:textFill>
        </w:rPr>
        <w:t xml:space="preserve">第二章  投标人须知</w:t>
      </w:r>
      <w:bookmarkEnd w:id="14"/>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5" w:name="_Toc32344"/>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一、总则</w:t>
      </w:r>
      <w:bookmarkEnd w:id="15"/>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bookmarkStart w:id="16" w:name="_Hlt16619475"/>
      <w:r/>
      <w:bookmarkEnd w:id="16"/>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1．招标方式</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1.1 本次招标采取公开招标方式，本招标文件仅适用于招标公告中所述项目。</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2．合格的投标人</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2.1 满足招标公告中投标人的资格要求的规定。</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2.2 满足本文件实质性要求的规定（本招标文件中斜体且有下划线部分为实质性要求）。</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3．适用法律</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3.1 本次招标及由此产生的合同受中华人民共和国有关的法律法规制约和保护。</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4．投标费用</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4.1 投标人应自行承担所有与参加投标有关的费用，无论投标过程中的做法和结果如何，苏州政合信咨询管理服务有限公司在任何情况下均无义务和责任承担这些费用。</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 本次招标采购代理机构收取代理服务费：</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4.2.1 本项目采购代理服务费由中标人支付。</w:t>
      </w:r>
      <w:r/>
    </w:p>
    <w:p>
      <w:pPr>
        <w:pStyle w:val="1351"/>
        <w:ind w:firstLine="480"/>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4.2.2 代理费用收取方式：公对公转账。</w:t>
      </w:r>
      <w:r/>
    </w:p>
    <w:p>
      <w:pPr>
        <w:pStyle w:val="1351"/>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4.2.3 </w:t>
      </w:r>
      <w:r>
        <w:rPr>
          <w:rFonts w:hint="eastAsia" w:ascii="Times New Roman" w:hAnsi="Times New Roman" w:eastAsia="宋体"/>
          <w:caps w:val="0"/>
          <w:color w:val="000000" w:themeColor="text1"/>
          <w:sz w:val="24"/>
          <w:szCs w:val="24"/>
          <w:highlight w:val="none"/>
          <w14:textFill>
            <w14:solidFill>
              <w14:schemeClr w14:val="tx1"/>
            </w14:solidFill>
          </w14:textFill>
        </w:rPr>
        <w:t xml:space="preserve">代理服务收费标准及金额</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预算金额的0.35%，也即7000元，</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该费用由中标人在签订合同前向采购代理机构一次性付清。中标人如果未按规定缴纳代理服务费，采购代理机构将保留诉讼的权利。</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5．招标文件的约束力</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5.1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pacing w:val="0"/>
          <w:sz w:val="24"/>
          <w:highlight w:val="none"/>
          <w14:textFill>
            <w14:solidFill>
              <w14:schemeClr w14:val="tx1"/>
            </w14:solidFill>
          </w14:textFill>
        </w:rPr>
        <w:t xml:space="preserve">“苏采云”系统</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7" w:name="_Toc1306"/>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二、招标文件</w:t>
      </w:r>
      <w:bookmarkEnd w:id="17"/>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6．招标文件构成</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6.1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招标文件</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由</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以下部分组成：</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（1）投标邀请</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（2）投标人须知</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（3）合同条款及格式</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（4）项目需求</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（5）评标方法与评标标准</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（6）投标文件格式</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请仔细检查招标文件是否齐全，如有缺漏请立即与</w:t>
      </w:r>
      <w:bookmarkStart w:id="18" w:name="EBbdde166065d14b62851231a61e89e609"/>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18"/>
      <w:r>
        <w:rPr>
          <w:rFonts w:hint="eastAsia" w:ascii="宋体" w:hAnsi="宋体" w:eastAsia="宋体" w:cs="宋体"/>
          <w:color w:val="000000" w:themeColor="text1"/>
          <w:spacing w:val="0"/>
          <w:sz w:val="24"/>
          <w:szCs w:val="24"/>
          <w:highlight w:val="none"/>
          <w14:textFill>
            <w14:solidFill>
              <w14:schemeClr w14:val="tx1"/>
            </w14:solidFill>
          </w14:textFill>
        </w:rPr>
        <w:t xml:space="preserve">联系解决。</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6.2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7．招标文件的澄清或修改</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7.1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在投标截止时间前。</w:t>
      </w:r>
      <w:bookmarkStart w:id="19" w:name="EBeec936f32a574d52a4992a8b94773f89"/>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19"/>
      <w:r>
        <w:rPr>
          <w:rFonts w:hint="eastAsia" w:ascii="宋体" w:hAnsi="宋体" w:eastAsia="宋体" w:cs="宋体"/>
          <w:color w:val="000000" w:themeColor="text1"/>
          <w:spacing w:val="0"/>
          <w:sz w:val="24"/>
          <w:szCs w:val="24"/>
          <w:highlight w:val="none"/>
          <w14:textFill>
            <w14:solidFill>
              <w14:schemeClr w14:val="tx1"/>
            </w14:solidFill>
          </w14:textFill>
        </w:rPr>
        <w:t xml:space="preserve">可以对招标文件进行澄清或修改。</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7.2</w:t>
      </w:r>
      <w:bookmarkStart w:id="20" w:name="EB14f04c7329d342c2b5d53bfcbbeaa167"/>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20"/>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有权按照法定的要求推迟投标截止日期和开标日期。</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7.3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21" w:name="_Toc29270"/>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三、投标文件的编制</w:t>
      </w:r>
      <w:bookmarkEnd w:id="21"/>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8．投标文件的语言及度量衡单位</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8.1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投标人提交的投标文件以及投标人与</w:t>
      </w:r>
      <w:bookmarkStart w:id="22" w:name="EB93850d2cac274df984aa2f93878c3cfe"/>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22"/>
      <w:r>
        <w:rPr>
          <w:rFonts w:hint="eastAsia" w:ascii="宋体" w:hAnsi="宋体" w:eastAsia="宋体" w:cs="宋体"/>
          <w:color w:val="000000" w:themeColor="text1"/>
          <w:spacing w:val="0"/>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简体中文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8.2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9．投标文件构成</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9.1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条款</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响应及偏离表投标人情况介绍等部分。</w:t>
      </w:r>
      <w:r/>
    </w:p>
    <w:p>
      <w:pPr>
        <w:ind w:firstLine="480"/>
        <w:keepLines w:val="0"/>
        <w:keepNext w:val="0"/>
        <w:pageBreakBefore w:val="0"/>
        <w:spacing w:line="52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9.2</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23" w:name="_Hlt26670360"/>
      <w:r/>
      <w:bookmarkEnd w:id="23"/>
      <w:r/>
      <w:bookmarkStart w:id="24" w:name="_Hlt26668975"/>
      <w:r/>
      <w:bookmarkEnd w:id="24"/>
      <w:r/>
      <w:bookmarkStart w:id="25" w:name="_Hlt26954838"/>
      <w:r/>
      <w:bookmarkEnd w:id="25"/>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10．投标函和开标一览表</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投标人应按照招标文件中提供的格式完整、正确填写投标函、开标一览表。</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11．投标人资格证明文件</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11.1</w:t>
      </w:r>
      <w:bookmarkStart w:id="26" w:name="_Hlt26668999"/>
      <w:r/>
      <w:bookmarkEnd w:id="26"/>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投标人应按招标文件的要求提交资格证明文件。</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12．投标配置与分项报价表（或经费测算表）</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pacing w:val="0"/>
          <w:sz w:val="24"/>
          <w:szCs w:val="24"/>
          <w:highlight w:val="none"/>
          <w14:textFill>
            <w14:solidFill>
              <w14:schemeClr w14:val="tx1"/>
            </w14:solidFill>
          </w14:textFill>
        </w:rPr>
        <w:t xml:space="preserve">投标人应按照招标文件规定格式填报。每项货物和服务等只允许有一个报价。</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12.2 标的物</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12.2.1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采购人需求的有关服务等。</w:t>
      </w:r>
      <w:r/>
    </w:p>
    <w:p>
      <w:pPr>
        <w:pStyle w:val="1346"/>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12.2.2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12.3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投标货币</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投标文件中的货物</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服务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单价和总价无特殊规定的采用人民币报价，以元为</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单位标注。招标文件中另有规定的按规定执行。</w:t>
      </w:r>
      <w:r/>
    </w:p>
    <w:p>
      <w:pPr>
        <w:pStyle w:val="1353"/>
        <w:ind w:firstLine="508"/>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12.4 优惠率报价应包括但不限于人员费用（工资、福利、培训、社会保险等）、服务所用设备工具购置及维修费用、服务所用材料消耗费用、管理费用、差旅费、利润、税金、政策性文件规定及合同包含的所有风险、责任等各项应有费用。</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bookmarkStart w:id="27" w:name="EB8486dd9157984dc9aa62437fb6aa6f0f"/>
      <w:r/>
      <w:bookmarkEnd w:id="27"/>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28" w:name="_Hlt26954731"/>
      <w:r/>
      <w:bookmarkEnd w:id="28"/>
      <w:r/>
      <w:bookmarkStart w:id="29" w:name="_Hlt26670482"/>
      <w:r/>
      <w:bookmarkEnd w:id="29"/>
      <w:r/>
      <w:bookmarkStart w:id="30" w:name="_Hlt26954846"/>
      <w:r/>
      <w:bookmarkEnd w:id="30"/>
      <w:r/>
      <w:bookmarkStart w:id="31" w:name="_Hlt26670486"/>
      <w:r/>
      <w:bookmarkEnd w:id="31"/>
      <w:r/>
      <w:bookmarkStart w:id="32" w:name="_Hlt26954848"/>
      <w:r/>
      <w:bookmarkEnd w:id="32"/>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13．技术及服务方案</w:t>
      </w:r>
      <w:r/>
    </w:p>
    <w:p>
      <w:pPr>
        <w:pStyle w:val="1354"/>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13.1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根据自己对需求的理解撰写需求分析和服务方案。</w:t>
      </w:r>
      <w:r/>
    </w:p>
    <w:p>
      <w:pPr>
        <w:pStyle w:val="1354"/>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13.2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14．技术要求响应及偏离表、商务条款响应及偏离表</w:t>
      </w:r>
      <w:r/>
    </w:p>
    <w:p>
      <w:pPr>
        <w:pStyle w:val="1355"/>
        <w:ind w:firstLine="480"/>
        <w:keepLines w:val="0"/>
        <w:keepNext w:val="0"/>
        <w:pageBreakBefore w:val="0"/>
        <w:spacing w:line="520" w:lineRule="exact"/>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14.1 投标人需对招标文件中的技术要求与商务条款逐项作出响应或偏离，并说明原因。</w:t>
      </w:r>
      <w:r/>
    </w:p>
    <w:p>
      <w:pPr>
        <w:pStyle w:val="1355"/>
        <w:ind w:firstLine="480"/>
        <w:keepLines w:val="0"/>
        <w:keepNext w:val="0"/>
        <w:pageBreakBefore w:val="0"/>
        <w:spacing w:line="520" w:lineRule="exact"/>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15．投标人情况介绍</w:t>
      </w:r>
      <w:r/>
    </w:p>
    <w:p>
      <w:pPr>
        <w:pStyle w:val="1355"/>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15.1 投标人的总体情况应在电子投标文件中作出说明。</w:t>
      </w:r>
      <w:bookmarkStart w:id="33" w:name="EBf6e5e332cb7245ab8f3a9801503c122b"/>
      <w:r/>
      <w:bookmarkEnd w:id="33"/>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34" w:name="_Hlt26954850"/>
      <w:r/>
      <w:bookmarkEnd w:id="34"/>
      <w:r/>
      <w:bookmarkStart w:id="35" w:name="_Hlt26670489"/>
      <w:r/>
      <w:bookmarkEnd w:id="35"/>
      <w:r/>
      <w:bookmarkStart w:id="36" w:name="_Hlt26954734"/>
      <w:r/>
      <w:bookmarkEnd w:id="36"/>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16．投标保证金</w:t>
      </w:r>
      <w:r/>
    </w:p>
    <w:p>
      <w:pPr>
        <w:pStyle w:val="1354"/>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本次招标不收取投标保证金。</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17．投标有效期</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17.1</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 投标有效期为</w:t>
      </w:r>
      <w:bookmarkStart w:id="37" w:name="EB42bffacbc3774d8f9be92be41fabfc13"/>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37"/>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九十（90）天</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。投标有效期比规定短的将被视为非响应性投标而予以拒绝。</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17.2</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 在特殊情况下，</w:t>
      </w:r>
      <w:bookmarkStart w:id="38" w:name="EB1a73f2f6d8ff43b6a705c8d1929594b0"/>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38"/>
      <w:r>
        <w:rPr>
          <w:rFonts w:hint="eastAsia" w:ascii="宋体" w:hAnsi="宋体" w:eastAsia="宋体" w:cs="宋体"/>
          <w:bCs/>
          <w:color w:val="000000" w:themeColor="text1"/>
          <w:spacing w:val="0"/>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bookmarkStart w:id="39" w:name="EBcd0282bdfe9441e3bba982eac64d1aaa"/>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39"/>
      <w:r>
        <w:rPr>
          <w:rFonts w:hint="eastAsia" w:ascii="宋体" w:hAnsi="宋体" w:eastAsia="宋体" w:cs="宋体"/>
          <w:bCs/>
          <w:color w:val="000000" w:themeColor="text1"/>
          <w:spacing w:val="0"/>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18．投标文件的签署</w:t>
      </w:r>
      <w:r/>
    </w:p>
    <w:p>
      <w:pPr>
        <w:pStyle w:val="1356"/>
        <w:ind w:firstLine="508"/>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18.1 本招标文件所表述（指定）的公章是指法定名称章，不包括合同专用章、业务专用章等印章。</w:t>
      </w:r>
      <w:bookmarkStart w:id="40" w:name="_Hlt26954852"/>
      <w:r/>
      <w:bookmarkEnd w:id="40"/>
      <w:r/>
      <w:bookmarkStart w:id="41" w:name="_Hlt26954739"/>
      <w:r/>
      <w:bookmarkEnd w:id="41"/>
      <w:r/>
      <w:bookmarkStart w:id="42" w:name="EBfdb2e00cf1ee477a9cdb47d13b603829"/>
      <w:r/>
      <w:bookmarkEnd w:id="42"/>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43" w:name="_Toc1101"/>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四、投标文件的制作、上传、递交</w:t>
      </w:r>
      <w:bookmarkEnd w:id="43"/>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19．投标文件的递交</w:t>
      </w:r>
      <w:r/>
    </w:p>
    <w:p>
      <w:pPr>
        <w:pStyle w:val="1357"/>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19.1 电子投标文件的递交</w:t>
      </w:r>
      <w:r/>
    </w:p>
    <w:p>
      <w:pPr>
        <w:pStyle w:val="1357"/>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投标人应当按照《操作手册》规定，在投标截止时间前制作并上传电子投标文件。</w:t>
      </w:r>
      <w:bookmarkStart w:id="44" w:name="EB5e78b12e89984a20ab881c475623475b"/>
      <w:r/>
      <w:bookmarkEnd w:id="44"/>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20．投标截止时间</w:t>
      </w:r>
      <w:r/>
    </w:p>
    <w:p>
      <w:pPr>
        <w:pStyle w:val="1358"/>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20.1 投标人上传电子投标文件的时间不得迟于招标公告中规定的投标截止时间。</w:t>
      </w:r>
      <w:r/>
    </w:p>
    <w:p>
      <w:pPr>
        <w:pStyle w:val="1358"/>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45" w:name="EB4c6421107b4c4e38bf2769d0237905a7"/>
      <w:r/>
      <w:bookmarkEnd w:id="45"/>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21．投标文件的拒收</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21.1</w:t>
      </w:r>
      <w:bookmarkStart w:id="46" w:name="EBfffe463a2deb4e7cad93cb8e37ffda5e"/>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46"/>
      <w:r>
        <w:rPr>
          <w:rFonts w:hint="eastAsia" w:ascii="宋体" w:hAnsi="宋体" w:eastAsia="宋体" w:cs="宋体"/>
          <w:color w:val="000000" w:themeColor="text1"/>
          <w:spacing w:val="0"/>
          <w:sz w:val="24"/>
          <w:szCs w:val="24"/>
          <w:highlight w:val="none"/>
          <w14:textFill>
            <w14:solidFill>
              <w14:schemeClr w14:val="tx1"/>
            </w14:solidFill>
          </w14:textFill>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22．投标文件的修改和撤回</w:t>
      </w:r>
      <w:r/>
    </w:p>
    <w:p>
      <w:pPr>
        <w:pStyle w:val="1359"/>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22.1 投标人在递交投标文件后，可以修改或撤回其投标文件，但这种修改和撤回，必须在规定的投标截止时间前，具体操作方法见《操作手册》。</w:t>
      </w:r>
      <w:r/>
    </w:p>
    <w:p>
      <w:pPr>
        <w:pStyle w:val="1359"/>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22.2 投标人撤回电子投标文件，则认为其不再参与本项目投标活动。</w:t>
      </w:r>
      <w:r/>
    </w:p>
    <w:p>
      <w:pPr>
        <w:pStyle w:val="1359"/>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22.3 在投标截止时间之后，投标人不得对其电子投标文件作任何修改。</w:t>
      </w:r>
      <w:r/>
    </w:p>
    <w:p>
      <w:pPr>
        <w:pStyle w:val="1359"/>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22.4 在投标截止时间至招标文件中规定的投标有效期满之间的这段时间内，投标人不得撤销其投标。</w:t>
      </w:r>
      <w:r/>
    </w:p>
    <w:p>
      <w:pPr>
        <w:pStyle w:val="1359"/>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22.5 不论投标人中标与否，投标文件均不退回。</w:t>
      </w:r>
      <w:bookmarkStart w:id="47" w:name="EB7c302f080cf342679641097daf23b42b"/>
      <w:r/>
      <w:bookmarkEnd w:id="47"/>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48" w:name="_Toc26328"/>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五、开标与评标</w:t>
      </w:r>
      <w:bookmarkEnd w:id="48"/>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23．开标</w:t>
      </w:r>
      <w:r/>
    </w:p>
    <w:p>
      <w:pPr>
        <w:pStyle w:val="1360"/>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360"/>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23.2 </w:t>
      </w:r>
      <w:r>
        <w:rPr>
          <w:rStyle w:val="1343"/>
          <w:rFonts w:hint="eastAsia" w:ascii="宋体" w:hAnsi="宋体" w:eastAsia="宋体" w:cs="宋体"/>
          <w:b w:val="0"/>
          <w:color w:val="000000" w:themeColor="text1"/>
          <w:spacing w:val="0"/>
          <w:sz w:val="24"/>
          <w:highlight w:val="none"/>
          <w14:textFill>
            <w14:solidFill>
              <w14:schemeClr w14:val="tx1"/>
            </w14:solidFill>
          </w14:textFill>
        </w:rPr>
        <w:t xml:space="preserve">开标时，由</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r>
        <w:rPr>
          <w:rStyle w:val="1343"/>
          <w:rFonts w:hint="eastAsia" w:ascii="宋体" w:hAnsi="宋体" w:eastAsia="宋体" w:cs="宋体"/>
          <w:b w:val="0"/>
          <w:color w:val="000000" w:themeColor="text1"/>
          <w:spacing w:val="0"/>
          <w:sz w:val="24"/>
          <w:highlight w:val="none"/>
          <w14:textFill>
            <w14:solidFill>
              <w14:schemeClr w14:val="tx1"/>
            </w14:solidFill>
          </w14:textFill>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24．评标委员会</w:t>
      </w:r>
      <w:r/>
    </w:p>
    <w:p>
      <w:pPr>
        <w:ind w:firstLine="480"/>
        <w:keepLines w:val="0"/>
        <w:keepNext w:val="0"/>
        <w:pageBreakBefore w:val="0"/>
        <w:spacing w:line="52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开标后，</w:t>
      </w:r>
      <w:bookmarkStart w:id="49" w:name="EBd93f728e80de47e5afd77299c0ffdfa6"/>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49"/>
      <w:r>
        <w:rPr>
          <w:rFonts w:hint="eastAsia" w:ascii="宋体" w:hAnsi="宋体" w:eastAsia="宋体" w:cs="宋体"/>
          <w:color w:val="000000" w:themeColor="text1"/>
          <w:spacing w:val="0"/>
          <w:sz w:val="24"/>
          <w:szCs w:val="24"/>
          <w:highlight w:val="none"/>
          <w14:textFill>
            <w14:solidFill>
              <w14:schemeClr w14:val="tx1"/>
            </w14:solidFill>
          </w14:textFill>
        </w:rPr>
        <w:t xml:space="preserve">将立即组织评标委员会（以下简称评委会）进行评标。</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24.2 评委会由评审专家、采购人代表组成，且人员构成符合政府采购有关规定。</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24.4</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评委会将对投标人的商业、技术秘密予以保密。</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25．评标过程的保密与公正</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25.1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25.2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在评标过程中，如果投标人试图向</w:t>
      </w:r>
      <w:bookmarkStart w:id="50" w:name="EB8495c46e8cb146ec80ae8c0f7928221c"/>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50"/>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和参与评标的人员施加任何影响，都将会导致其投标被拒绝。</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26．投标的澄清</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.1评标期间，为有助于对投标文件的审查、评价和比较，评委会有权要求投标人对其投标文件进行澄清，但并非对每个投标人都作澄清要求。</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pPr>
      <w:r>
        <w:rPr>
          <w:rFonts w:hint="eastAsia" w:ascii="宋体" w:hAnsi="宋体" w:eastAsia="宋体" w:cs="宋体"/>
          <w:b/>
          <w:bCs w:val="0"/>
          <w:color w:val="000000" w:themeColor="text1"/>
          <w:spacing w:val="0"/>
          <w:sz w:val="24"/>
          <w:szCs w:val="24"/>
          <w:highlight w:val="none"/>
          <w:lang w:val="zh-CN" w:eastAsia="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26.3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接到评委会澄清要求的投标人如未按规定作出澄清，其风险由投标人自行承担。</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27．对投标文件的初审</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27.1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投标文件初审分为资格审查和符合性审查。</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资格性审查</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采购人或者采购代理机构依法对投标人的资格进行审查。</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关于信用查询：</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.1.1.1.1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查询时间：投标文件递交截止时间。</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查询渠道：通过“信用中国”网站等渠道查询相关主体信用记录。</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27.1.2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符合性审查：</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27.3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27.4 投标文件报价出现前后不一致的，按下列规定修正：</w:t>
      </w:r>
      <w:r/>
    </w:p>
    <w:p>
      <w:pPr>
        <w:ind w:firstLine="480"/>
        <w:jc w:val="left"/>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（2）大写金额和小写金额不一致的，以大写金额为准；</w:t>
      </w:r>
      <w:r/>
    </w:p>
    <w:p>
      <w:pPr>
        <w:ind w:firstLine="480"/>
        <w:jc w:val="left"/>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（4）总价金额与按单价汇总金额不一致的，以单价金额计算结果为准。</w:t>
      </w:r>
      <w:r/>
    </w:p>
    <w:p>
      <w:pPr>
        <w:ind w:firstLine="480"/>
        <w:jc w:val="left"/>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.6 异常低价投标审查</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.6.1 评标过程中出现下列情形之一的，评标委员会应当启动异常低价投标审查程序：</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（1）投标报价低于采购项目预算50%的，即投标报价＜采购项目预算×50%（本项目以优惠率报价，即优惠率＞50%时启动）；</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（2）投标报价低于采购项目最高限价45%的，即投标报价＜采购项目最高限价×45%（本项目以优惠率报价，即优惠率＞55%时启动）；</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（3）评标委员会认定的供应商报价过低、有可能影响产品质量或者不能诚信履约的其他情形。</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.6.2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28．无效投标条款和废标条款</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 无效投标条款</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 投标人未按照招标文件要求上传电子投标文件的；</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28.1.2 投标人在规定时间内不解密投标文件或未成功解密投标文件的（因系统原因导致的除外)；</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28.1.3 投标文件中没有《开标一览表》或《开标一览表》未加盖投标人公章的；</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28.1.4 投标文件中任何有选择的报价；</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28.1.5 投标文件报价出现前后不一致的，按招标文件规定修正后投标人不确认的；</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28.1.6 不同投标人的投标文件由同一单位或者个人编制；</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28.1.7 不同投标人委托同一单位或者个人办理投标事宜；</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28.1.8 不同投标人的投标文件载明的项目管理成员或者联系人员为同一人；</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28.1.9 不同投标人的投标文件异常一致或者投标报价呈规律性差异；</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28.1.10 不同投标人的投标文件制作机器码一致的；</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61"/>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28.1.14 不同供应商的单位负责人为同一人或者存在直接控股、管理关系的；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28.1.15 为采购项目提供整体设计、规范编制或者项目管理、监理、检测等服务的；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28.1.16 资格证明文件中要求加盖公章而未加盖公章的；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28.1.17 投标文件未按招标文件要求签署、盖章的；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28.1.18 不具备招标文件中规定的资格要求或未按招标文件规定的要求提供资格证明文件的；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28.1.19 报价超过招标文件中规定的预算金额或者最高限价的；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28.1.20 投标文件含有采购人不能接受的附加条件的；</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28.1.21 不响应招标文件中规定的实质性要求的（本招标文件中斜体且有下划线部分为实质性要求）；</w:t>
      </w:r>
      <w:r/>
    </w:p>
    <w:p>
      <w:pPr>
        <w:pStyle w:val="1362"/>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28.1.22 法律、法规和采购文件规定的其他无效情形；</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28.2 废标条款：</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1</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）符合专业条件的供应商或者对招标文件作实质响应的供应商不足三家的；</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）出现影响采购公正的违法、违规行为的；</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3</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）投标人的报价均超过了采购预算，采购人不能支付的；</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4</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）因重大变故，采购任务取消的；</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5</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）因苏采云系统系统故障原因造成开标不成功的。</w:t>
      </w:r>
      <w:r/>
    </w:p>
    <w:p>
      <w:pPr>
        <w:pStyle w:val="1363"/>
        <w:ind w:firstLine="480"/>
        <w:keepLines w:val="0"/>
        <w:keepNext w:val="0"/>
        <w:pageBreakBefore w:val="0"/>
        <w:spacing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28.3 投标截止时间结束后参加投标的供应商不足三家的处理：</w:t>
      </w:r>
      <w:r/>
    </w:p>
    <w:p>
      <w:pPr>
        <w:pStyle w:val="1363"/>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28.3.1 如出现投标截止时间结束后参加投标的供应商或者在评标期间对招标文件做出实质响应的供应商不足三家情况，按财政部第87号令第四十三条的规定执行。</w:t>
      </w:r>
      <w:bookmarkStart w:id="51" w:name="EB369a3ca3706348fd9a6451dab4968a5b"/>
      <w:r/>
      <w:bookmarkEnd w:id="51"/>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52" w:name="_Toc17815"/>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六、定标</w:t>
      </w:r>
      <w:bookmarkEnd w:id="52"/>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29．确定</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中标人</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29.1 评委会根据本招标文件规定评标办法与评标标准向采购人推荐出1名中标候选人。</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29.2 </w:t>
      </w:r>
      <w:bookmarkStart w:id="53" w:name="EBfa38c9fe4db84c47a946c1558a3ddb8f"/>
      <w:r/>
      <w:bookmarkEnd w:id="53"/>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采购人应根据评委会推荐的中标候选人确定中标人。</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29.3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29.4</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若有充分证据证明，中标人出现下列情况之一的，一经查实，中标无效：</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（1）提供虚假材料谋取中标的；</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（2）采取不正当手段诋毁、排挤其他供应商的；</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（3）与采购人、其他供应商或者采购代理机构恶意串通的；</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（5）在招标采购过程中与采购人进行协商谈判的；</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30．</w:t>
      </w:r>
      <w:r>
        <w:rPr>
          <w:rFonts w:hint="eastAsia" w:ascii="宋体" w:hAnsi="宋体" w:eastAsia="宋体" w:cs="宋体"/>
          <w:b w:val="0"/>
          <w:bCs w:val="0"/>
          <w:color w:val="000000" w:themeColor="text1"/>
          <w:spacing w:val="0"/>
          <w:sz w:val="24"/>
          <w:szCs w:val="24"/>
          <w:highlight w:val="none"/>
          <w:lang w:val="zh-CN"/>
          <w14:textFill>
            <w14:solidFill>
              <w14:schemeClr w14:val="tx1"/>
            </w14:solidFill>
          </w14:textFill>
        </w:rPr>
        <w:t xml:space="preserve">质疑</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30.1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质疑形式</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30.1.1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、采购需求、供应商资格条件、评标方法和评标标准、合同文本，向采购单位提出；涉及采购程序问题的，向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提出）。非书面形式、七个工作日之外提交的质疑将不予受理。</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.2质疑必须按《政府采购法》、《政府采购法实施条例》及财政部94号令的相关规定提交，未按上述要求提交的质疑函</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有权不予受理</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.1.3质疑函应当包括下列内容：</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.1.3.1供应商的姓名或者名称、地址、邮编、联系人及联系电话；</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.1.3.2质疑项目的名称、编号；</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.1.3.3具体、明确的质疑事项和与质疑事项相关的请求；</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.1.3.4事实依据；</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.1.3.5必要的法律依据；</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.1.3.6提出质疑的日期。</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.1.4质疑函应当由法定代表人、主要负责人，或者其授权代表签字或者盖章，并加盖公章。匿名提交的质疑将不予受理。</w:t>
      </w:r>
      <w:r/>
    </w:p>
    <w:p>
      <w:pPr>
        <w:ind w:firstLine="482"/>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.1.5质疑的送达方式</w:t>
      </w:r>
      <w:r/>
    </w:p>
    <w:p>
      <w:pPr>
        <w:ind w:firstLine="482"/>
        <w:keepLines w:val="0"/>
        <w:keepNext w:val="0"/>
        <w:pageBreakBefore w:val="0"/>
        <w:spacing w:line="520" w:lineRule="exact"/>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.1.5.1质疑函应采用邮寄送达或直接送达的方式递交，采用其他方式送达（含传真、电子邮件等）的，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有权不予受理。</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特别提示</w:t>
      </w:r>
      <w:r/>
    </w:p>
    <w:p>
      <w:pPr>
        <w:ind w:firstLine="480"/>
        <w:keepLines w:val="0"/>
        <w:keepNext w:val="0"/>
        <w:pageBreakBefore w:val="0"/>
        <w:spacing w:line="520" w:lineRule="exact"/>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.1根据财政部94号令第十一条规定，提出质疑的供应商应当是参与所质疑项目采购活动的供应商。</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.2供应商在法定质疑期内应一次性提出针对同一采购程序环节的质疑。</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.3供应商提出质疑必须有理、有据，不得恶意质疑或提交虚假质疑。否则，一经查实，采购人或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有权依据政府采购的有关规定，报请政府采购监管部门对该投标人进行相应的行政处罚。</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其他</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将在收到供应商的质疑后七个工作日内作出答复，答复的内容不涉及商业秘密。</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31．中标通知书</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31.l</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 xml:space="preserve">在中标结果确定后2个工作日内，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highlight w:val="none"/>
          <w14:textFill>
            <w14:solidFill>
              <w14:schemeClr w14:val="tx1"/>
            </w14:solidFill>
          </w14:textFill>
        </w:rPr>
        <w:t xml:space="preserve">向中标</w:t>
      </w:r>
      <w:r>
        <w:rPr>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highlight w:val="none"/>
          <w14:textFill>
            <w14:solidFill>
              <w14:schemeClr w14:val="tx1"/>
            </w14:solidFill>
          </w14:textFill>
        </w:rPr>
        <w:t xml:space="preserve">发出中标通知书。请中标人在中标结果公告届满之日起30日内</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因未及时下载而造成的不利后果由中标人自行承担。</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 中标通知书将是合同的一个组成部分。对采购人和中标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放弃中标项目的，应当依法承担法律责任。</w:t>
      </w:r>
      <w:r/>
    </w:p>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54" w:name="_Toc26410"/>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七、授予合同</w:t>
      </w:r>
      <w:bookmarkEnd w:id="54"/>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32．签订合同</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32.l</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pacing w:val="0"/>
          <w:sz w:val="24"/>
          <w:highlight w:val="none"/>
          <w14:textFill>
            <w14:solidFill>
              <w14:schemeClr w14:val="tx1"/>
            </w14:solidFill>
          </w14:textFill>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32.2 招标文件、中标人的投标文件及招标过程中有关澄清、承诺文件均应作为合同附件。</w:t>
      </w:r>
      <w:r/>
    </w:p>
    <w:p>
      <w:pPr>
        <w:ind w:firstLine="480"/>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32.3 签订合同后，中标人不得将合同标的进行转包和分包</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33．履约保证金</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 合同签订前，中标人向采购人交付的履约保证金为合同金额的 2 ％。</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34．货物和服务的追加、减少和添购</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34.1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35．监督</w:t>
      </w:r>
      <w:r/>
    </w:p>
    <w:p>
      <w:pPr>
        <w:ind w:firstLine="480"/>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35.1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政府有关监督部门将对投标全过程进行监督。</w:t>
      </w:r>
      <w:r/>
    </w:p>
    <w:p>
      <w:pPr>
        <w:keepLines w:val="0"/>
        <w:keepNext w:val="0"/>
        <w:pageBreakBefore w:val="0"/>
        <w:spacing w:line="520" w:lineRule="exac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r>
      <w:r/>
    </w:p>
    <w:p>
      <w:pPr>
        <w:ind w:firstLine="544"/>
        <w:keepLines w:val="0"/>
        <w:keepNext w:val="0"/>
        <w:pageBreakBefore w:val="0"/>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sectPr>
          <w:headerReference w:type="default" r:id="rId11"/>
          <w:headerReference w:type="first" r:id="rId12"/>
          <w:footnotePr/>
          <w:endnotePr/>
          <w:type w:val="nextPage"/>
          <w:pgSz w:w="11906" w:h="16838" w:orient="portrait"/>
          <w:pgMar w:top="1440" w:right="1080" w:bottom="1440" w:left="1080" w:header="851" w:footer="992" w:gutter="0"/>
          <w:cols w:num="1" w:sep="0" w:space="1701" w:equalWidth="1"/>
          <w:docGrid w:linePitch="360"/>
          <w:titlePg/>
        </w:sectPr>
      </w:pPr>
      <w:r/>
      <w:bookmarkStart w:id="55" w:name="EB0f9f45dd5e234a13a81c333deb906690"/>
      <w:r/>
      <w:bookmarkEnd w:id="55"/>
      <w:r/>
      <w:r/>
    </w:p>
    <w:p>
      <w:pPr>
        <w:pStyle w:val="1347"/>
        <w:keepLines w:val="0"/>
        <w:keepNext w:val="0"/>
        <w:pageBreakBefore w:val="0"/>
        <w:spacing w:before="313" w:after="313" w:line="500" w:lineRule="exact"/>
        <w:widowControl w:val="off"/>
        <w:rPr>
          <w:rFonts w:hint="eastAsia" w:ascii="宋体" w:hAnsi="宋体" w:eastAsia="宋体" w:cs="宋体"/>
          <w:color w:val="000000" w:themeColor="text1"/>
          <w:spacing w:val="0"/>
          <w:highlight w:val="none"/>
          <w14:textFill>
            <w14:solidFill>
              <w14:schemeClr w14:val="tx1"/>
            </w14:solidFill>
          </w14:textFill>
        </w:rPr>
      </w:pPr>
      <w:r/>
      <w:bookmarkStart w:id="56" w:name="_Toc5675"/>
      <w:r>
        <w:rPr>
          <w:rFonts w:hint="eastAsia" w:ascii="宋体" w:hAnsi="宋体" w:eastAsia="宋体" w:cs="宋体"/>
          <w:color w:val="000000" w:themeColor="text1"/>
          <w:spacing w:val="0"/>
          <w:highlight w:val="none"/>
          <w14:textFill>
            <w14:solidFill>
              <w14:schemeClr w14:val="tx1"/>
            </w14:solidFill>
          </w14:textFill>
        </w:rPr>
        <w:t xml:space="preserve">第三章 合同条款及格式</w:t>
      </w:r>
      <w:bookmarkEnd w:id="56"/>
      <w:r/>
      <w:r/>
    </w:p>
    <w:p>
      <w:pPr>
        <w:pStyle w:val="1365"/>
        <w:ind w:firstLine="0"/>
        <w:jc w:val="center"/>
        <w:keepLines w:val="0"/>
        <w:keepNext w:val="0"/>
        <w:pageBreakBefore w:val="0"/>
        <w:spacing w:line="500" w:lineRule="exact"/>
        <w:widowControl w:val="off"/>
        <w:rPr>
          <w:rStyle w:val="1352"/>
          <w:rFonts w:hint="eastAsia" w:ascii="宋体" w:hAnsi="宋体" w:eastAsia="宋体" w:cs="宋体"/>
          <w:bCs/>
          <w:color w:val="000000" w:themeColor="text1"/>
          <w:spacing w:val="0"/>
          <w:sz w:val="24"/>
          <w:highlight w:val="none"/>
          <w14:textFill>
            <w14:solidFill>
              <w14:schemeClr w14:val="tx1"/>
            </w14:solidFill>
          </w14:textFill>
        </w:rPr>
      </w:pPr>
      <w:r/>
      <w:bookmarkStart w:id="57" w:name="EB445c3bd035294764b52dfc379b7b9568"/>
      <w:r>
        <w:rPr>
          <w:rStyle w:val="1352"/>
          <w:rFonts w:hint="eastAsia" w:ascii="宋体" w:hAnsi="宋体" w:eastAsia="宋体" w:cs="宋体"/>
          <w:bCs/>
          <w:color w:val="000000" w:themeColor="text1"/>
          <w:spacing w:val="0"/>
          <w:sz w:val="24"/>
          <w:highlight w:val="none"/>
          <w14:textFill>
            <w14:solidFill>
              <w14:schemeClr w14:val="tx1"/>
            </w14:solidFill>
          </w14:textFill>
        </w:rPr>
        <w:t xml:space="preserve">以下为中标(成交)后签定本项目合同的通用条款，中标(成交)供应商不得提出实质性的修改。</w:t>
      </w:r>
      <w:r/>
    </w:p>
    <w:p>
      <w:pPr>
        <w:jc w:val="center"/>
        <w:keepLines w:val="0"/>
        <w:keepNext w:val="0"/>
        <w:pageBreakBefore w:val="0"/>
        <w:spacing w:before="157" w:after="157" w:line="520" w:lineRule="exact"/>
        <w:shd w:val="clear" w:color="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张家港市政府采购合同</w:t>
      </w:r>
      <w:bookmarkEnd w:id="57"/>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58" w:name="_Hlt1661935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项目名称：</w:t>
      </w:r>
      <w:bookmarkStart w:id="59" w:name="biaoduanname_1"/>
      <w:r/>
      <w:bookmarkEnd w:id="59"/>
      <w:r>
        <w:rPr>
          <w:rFonts w:hint="eastAsia" w:ascii="宋体" w:hAnsi="宋体" w:eastAsia="宋体" w:cs="宋体"/>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项目编号：</w:t>
      </w:r>
      <w:bookmarkStart w:id="60" w:name="projectno"/>
      <w:r/>
      <w:bookmarkEnd w:id="60"/>
      <w:r>
        <w:rPr>
          <w:rFonts w:hint="eastAsia" w:ascii="宋体" w:hAnsi="宋体" w:eastAsia="宋体" w:cs="宋体"/>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甲方：（买方）</w:t>
      </w:r>
      <w:bookmarkStart w:id="61" w:name="jianshedanwei_1"/>
      <w:r/>
      <w:bookmarkEnd w:id="61"/>
      <w:r>
        <w:rPr>
          <w:rFonts w:hint="eastAsia" w:ascii="宋体" w:hAnsi="宋体" w:eastAsia="宋体" w:cs="宋体"/>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乙方：（卖方）</w:t>
      </w:r>
      <w:bookmarkStart w:id="62" w:name="zhongbiaodanweiname_1"/>
      <w:r/>
      <w:bookmarkEnd w:id="62"/>
      <w:r>
        <w:rPr>
          <w:rFonts w:hint="eastAsia" w:ascii="宋体" w:hAnsi="宋体" w:eastAsia="宋体" w:cs="宋体"/>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p>
    <w:p>
      <w:pPr>
        <w:ind w:firstLine="480"/>
        <w:jc w:val="both"/>
        <w:keepLines w:val="0"/>
        <w:keepNext w:val="0"/>
        <w:pageBreakBefore w:val="0"/>
        <w:spacing w:line="500" w:lineRule="exact"/>
        <w:shd w:val="clear" w:color="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甲、乙双方根据</w:t>
      </w:r>
      <w:bookmarkStart w:id="63" w:name="EBdfedbe8ad66f4d4f87edd13341207451"/>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苏州政合信咨询管理服务有限公司</w:t>
      </w:r>
      <w:bookmarkEnd w:id="63"/>
      <w:r/>
      <w:bookmarkStart w:id="64" w:name="biaoduanname_2"/>
      <w:r/>
      <w:bookmarkEnd w:id="64"/>
      <w:r>
        <w:rPr>
          <w:rFonts w:hint="eastAsia" w:ascii="宋体" w:hAnsi="宋体" w:eastAsia="宋体" w:cs="宋体"/>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项目公开招标的结果，签署本合同。</w:t>
      </w:r>
      <w:r/>
    </w:p>
    <w:p>
      <w:pPr>
        <w:keepLines w:val="0"/>
        <w:keepNext w:val="0"/>
        <w:pageBreakBefore w:val="0"/>
        <w:spacing w:line="520" w:lineRule="exact"/>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65" w:name="_Toc9831"/>
      <w:r>
        <w:rPr>
          <w:rFonts w:hint="eastAsia" w:ascii="宋体" w:hAnsi="宋体" w:eastAsia="宋体" w:cs="宋体"/>
          <w:b/>
          <w:color w:val="000000" w:themeColor="text1"/>
          <w:spacing w:val="0"/>
          <w:sz w:val="28"/>
          <w:szCs w:val="28"/>
          <w:highlight w:val="none"/>
          <w14:textFill>
            <w14:solidFill>
              <w14:schemeClr w14:val="tx1"/>
            </w14:solidFill>
          </w14:textFill>
        </w:rPr>
        <w:t xml:space="preserve">一、服务内容</w:t>
      </w:r>
      <w:bookmarkEnd w:id="65"/>
      <w:r/>
      <w:r/>
    </w:p>
    <w:tbl>
      <w:tblPr>
        <w:tblStyle w:val="1148"/>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项目名称</w:t>
            </w:r>
            <w:r/>
          </w:p>
        </w:tc>
        <w:tc>
          <w:tcPr>
            <w:tcW w:w="3374" w:type="dxa"/>
            <w:vAlign w:val="center"/>
            <w:textDirection w:val="lrTb"/>
            <w:noWrap w:val="false"/>
          </w:tcPr>
          <w:p>
            <w:pPr>
              <w:ind w:firstLine="480"/>
              <w:jc w:val="center"/>
              <w:spacing w:line="24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优惠率（%）</w:t>
            </w:r>
            <w:r/>
          </w:p>
        </w:tc>
        <w:tc>
          <w:tcPr>
            <w:tcW w:w="3068" w:type="dxa"/>
            <w:vAlign w:val="center"/>
            <w:textDirection w:val="lrTb"/>
            <w:noWrap w:val="false"/>
          </w:tcPr>
          <w:p>
            <w:pPr>
              <w:ind w:firstLine="240"/>
              <w:jc w:val="center"/>
              <w:spacing w:line="24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服务内容</w:t>
            </w:r>
            <w:r/>
          </w:p>
        </w:tc>
      </w:tr>
      <w:tr>
        <w:trPr>
          <w:cantSplit/>
          <w:jc w:val="center"/>
          <w:trHeight w:val="850"/>
        </w:trPr>
        <w:tc>
          <w:tcPr>
            <w:tcW w:w="33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66" w:name="biaoduanname_3"/>
            <w:r/>
            <w:bookmarkEnd w:id="66"/>
            <w:r/>
            <w:r/>
          </w:p>
        </w:tc>
        <w:tc>
          <w:tcPr>
            <w:tcW w:w="337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67" w:name="zhongbiaopricelow_1"/>
            <w:r/>
            <w:bookmarkEnd w:id="67"/>
            <w:r/>
            <w:r/>
          </w:p>
        </w:tc>
        <w:tc>
          <w:tcPr>
            <w:tcW w:w="3068"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68" w:name="fuwuneirong"/>
            <w:r/>
            <w:bookmarkEnd w:id="68"/>
            <w:r/>
            <w:r/>
          </w:p>
        </w:tc>
      </w:tr>
    </w:tbl>
    <w:p>
      <w:pPr>
        <w:keepLines w:val="0"/>
        <w:keepNext w:val="0"/>
        <w:pageBreakBefore w:val="0"/>
        <w:spacing w:line="52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69" w:name="_Toc21672"/>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二、合同金额</w:t>
      </w:r>
      <w:bookmarkEnd w:id="69"/>
      <w:r/>
      <w:r/>
    </w:p>
    <w:p>
      <w:pPr>
        <w:ind w:firstLine="480"/>
        <w:jc w:val="left"/>
        <w:keepLines w:val="0"/>
        <w:keepNext w:val="0"/>
        <w:pageBreakBefore w:val="0"/>
        <w:spacing w:line="500" w:lineRule="exact"/>
        <w:shd w:val="clear" w:color="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2.1 本合同金额为（大写）：</w:t>
      </w:r>
      <w:r>
        <w:rPr>
          <w:rStyle w:val="1352"/>
          <w:rFonts w:hint="eastAsia" w:ascii="宋体" w:hAnsi="宋体" w:eastAsia="宋体" w:cs="宋体"/>
          <w:color w:val="000000" w:themeColor="text1"/>
          <w:sz w:val="24"/>
          <w:highlight w:val="none"/>
          <w14:textFill>
            <w14:solidFill>
              <w14:schemeClr w14:val="tx1"/>
            </w14:solidFill>
          </w14:textFill>
        </w:rPr>
        <w:t xml:space="preserve">人民币</w:t>
      </w:r>
      <w:r>
        <w:rPr>
          <w:rStyle w:val="1352"/>
          <w:rFonts w:hint="eastAsia" w:ascii="宋体" w:hAnsi="宋体" w:eastAsia="宋体" w:cs="宋体"/>
          <w:color w:val="000000" w:themeColor="text1"/>
          <w:sz w:val="24"/>
          <w:highlight w:val="none"/>
          <w:u w:val="single"/>
          <w14:textFill>
            <w14:solidFill>
              <w14:schemeClr w14:val="tx1"/>
            </w14:solidFill>
          </w14:textFill>
        </w:rPr>
        <w:t xml:space="preserve"> </w:t>
      </w:r>
      <w:bookmarkStart w:id="70" w:name="zhongbiaopriceup"/>
      <w:r>
        <w:rPr>
          <w:rStyle w:val="1352"/>
          <w:rFonts w:hint="eastAsia" w:ascii="宋体" w:hAnsi="宋体" w:eastAsia="宋体" w:cs="宋体"/>
          <w:color w:val="000000" w:themeColor="text1"/>
          <w:sz w:val="24"/>
          <w:highlight w:val="none"/>
          <w:u w:val="single"/>
          <w14:textFill>
            <w14:solidFill>
              <w14:schemeClr w14:val="tx1"/>
            </w14:solidFill>
          </w14:textFill>
        </w:rPr>
        <w:t xml:space="preserve">            </w:t>
      </w:r>
      <w:bookmarkEnd w:id="70"/>
      <w:r>
        <w:rPr>
          <w:rStyle w:val="1352"/>
          <w:rFonts w:hint="eastAsia" w:ascii="宋体" w:hAnsi="宋体" w:eastAsia="宋体" w:cs="宋体"/>
          <w:color w:val="000000" w:themeColor="text1"/>
          <w:sz w:val="24"/>
          <w:highlight w:val="none"/>
          <w:u w:val="single"/>
          <w14:textFill>
            <w14:solidFill>
              <w14:schemeClr w14:val="tx1"/>
            </w14:solidFill>
          </w14:textFill>
        </w:rPr>
        <w:t xml:space="preserve">             </w:t>
      </w:r>
      <w:r>
        <w:rPr>
          <w:rStyle w:val="1352"/>
          <w:rFonts w:hint="eastAsia" w:ascii="宋体" w:hAnsi="宋体" w:eastAsia="宋体" w:cs="宋体"/>
          <w:color w:val="000000" w:themeColor="text1"/>
          <w:sz w:val="24"/>
          <w:highlight w:val="none"/>
          <w14:textFill>
            <w14:solidFill>
              <w14:schemeClr w14:val="tx1"/>
            </w14:solidFill>
          </w14:textFill>
        </w:rPr>
        <w:t xml:space="preserve">（</w:t>
      </w:r>
      <w:r>
        <w:rPr>
          <w:rStyle w:val="1352"/>
          <w:rFonts w:hint="eastAsia" w:ascii="宋体" w:hAnsi="宋体" w:eastAsia="宋体" w:cs="宋体"/>
          <w:color w:val="000000" w:themeColor="text1"/>
          <w:sz w:val="24"/>
          <w:highlight w:val="none"/>
          <w:u w:val="single"/>
          <w14:textFill>
            <w14:solidFill>
              <w14:schemeClr w14:val="tx1"/>
            </w14:solidFill>
          </w14:textFill>
        </w:rPr>
        <w:t xml:space="preserve">            </w:t>
      </w:r>
      <w:r>
        <w:rPr>
          <w:rStyle w:val="1352"/>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none"/>
          <w:lang w:val="en-US" w:eastAsia="zh-CN" w:bidi="ar-SA"/>
          <w14:textFill>
            <w14:solidFill>
              <w14:schemeClr w14:val="tx1"/>
            </w14:solidFill>
          </w14:textFill>
        </w:rPr>
        <w:t xml:space="preserve">。</w:t>
      </w:r>
      <w:r/>
    </w:p>
    <w:p>
      <w:pPr>
        <w:ind w:firstLine="480"/>
        <w:keepLines w:val="0"/>
        <w:keepNext w:val="0"/>
        <w:pageBreakBefore w:val="0"/>
        <w:spacing w:line="500" w:lineRule="exact"/>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总价</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为综合报价，应包括但不限于人员费用（工资、福利、培训、社会保险等）、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服务所用设备工具购置及维修费用、服务所用材料消耗费用、管理费用、差旅费、利润、税金、政策性文件规定及合同包含的所有风险、责任等各项应有费用。</w:t>
      </w:r>
      <w:r/>
    </w:p>
    <w:p>
      <w:pPr>
        <w:ind w:firstLine="480"/>
        <w:keepLines w:val="0"/>
        <w:keepNext w:val="0"/>
        <w:pageBreakBefore w:val="0"/>
        <w:spacing w:line="500" w:lineRule="exact"/>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 合同服务期内，</w:t>
      </w: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若</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第一</w:t>
      </w: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年度实际发生金额超过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年度</w:t>
      </w: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预算总金额，则</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中标单位不得停止服务，</w:t>
      </w: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最终</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第一</w:t>
      </w: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年度结算总金额仍为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年度</w:t>
      </w: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预算总金额。</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71" w:name="_Toc18675"/>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履约保证金</w:t>
      </w:r>
      <w:bookmarkEnd w:id="71"/>
      <w:r/>
      <w:r/>
    </w:p>
    <w:p>
      <w:pPr>
        <w:ind w:firstLine="480"/>
        <w:keepLines w:val="0"/>
        <w:keepNext w:val="0"/>
        <w:pageBreakBefore w:val="0"/>
        <w:spacing w:line="50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合同签订前，乙方向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交纳人民币</w:t>
      </w:r>
      <w:bookmarkStart w:id="72" w:name="lvbzj"/>
      <w:r/>
      <w:bookmarkEnd w:id="72"/>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ind w:firstLine="480"/>
        <w:keepLines w:val="0"/>
        <w:keepNext w:val="0"/>
        <w:pageBreakBefore w:val="0"/>
        <w:spacing w:line="50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 合同履行完毕退还履约保证金。</w:t>
      </w:r>
      <w:r>
        <w:rPr>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逾期退还的，应当支付逾期利息，且逾期利息的利率不得低于合同订立时1年期贷款市场报价利率。</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3.3 乙方不履行与甲方订立的合同的，履约保证金不予退还。</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73" w:name="_Toc23323"/>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四、转包或分包</w:t>
      </w:r>
      <w:bookmarkEnd w:id="73"/>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4.1 本合同范围的服务，应由乙方直接提供，不得转让他人提供；</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4.2 如有转包和分包行为，甲方有权给予终止合同。</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74" w:name="_Toc21242"/>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五、服务期限及服务地点</w:t>
      </w:r>
      <w:bookmarkEnd w:id="74"/>
      <w:r/>
      <w:r/>
    </w:p>
    <w:p>
      <w:pPr>
        <w:ind w:firstLine="480"/>
        <w:jc w:val="both"/>
        <w:keepLines w:val="0"/>
        <w:keepNext w:val="0"/>
        <w:pageBreakBefore w:val="0"/>
        <w:spacing w:line="500" w:lineRule="exact"/>
        <w:shd w:val="clear" w:color="auto"/>
        <w:widowControl w:val="off"/>
        <w:rPr>
          <w:rFonts w:hint="eastAsia" w:ascii="宋体" w:hAnsi="宋体" w:eastAsia="宋体" w:cs="宋体"/>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5.1 服务期限：</w:t>
      </w:r>
      <w:bookmarkStart w:id="75" w:name="fuwuqixian"/>
      <w:r/>
      <w:bookmarkEnd w:id="75"/>
      <w:r>
        <w:rPr>
          <w:rFonts w:hint="eastAsia" w:ascii="宋体" w:hAnsi="宋体" w:eastAsia="宋体" w:cs="宋体"/>
          <w:b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p>
    <w:p>
      <w:pPr>
        <w:pStyle w:val="1365"/>
        <w:ind w:firstLine="480"/>
        <w:keepLines w:val="0"/>
        <w:keepNext w:val="0"/>
        <w:pageBreakBefore w:val="0"/>
        <w:spacing w:line="500" w:lineRule="exact"/>
        <w:widowControl w:val="off"/>
        <w:rPr>
          <w:rStyle w:val="1352"/>
          <w:rFonts w:hint="eastAsia" w:ascii="宋体" w:hAnsi="宋体" w:eastAsia="宋体" w:cs="宋体"/>
          <w:bCs/>
          <w:color w:val="000000" w:themeColor="text1"/>
          <w:spacing w:val="0"/>
          <w:sz w:val="24"/>
          <w:highlight w:val="none"/>
          <w14:textFill>
            <w14:solidFill>
              <w14:schemeClr w14:val="tx1"/>
            </w14:solidFill>
          </w14:textFill>
        </w:rPr>
      </w:pPr>
      <w:r>
        <w:rPr>
          <w:rStyle w:val="1352"/>
          <w:rFonts w:hint="eastAsia" w:ascii="宋体" w:hAnsi="宋体" w:eastAsia="宋体" w:cs="宋体"/>
          <w:bCs/>
          <w:color w:val="000000" w:themeColor="text1"/>
          <w:spacing w:val="0"/>
          <w:sz w:val="24"/>
          <w:highlight w:val="none"/>
          <w:lang w:val="en-US"/>
          <w14:textFill>
            <w14:solidFill>
              <w14:schemeClr w14:val="tx1"/>
            </w14:solidFill>
          </w14:textFill>
        </w:rPr>
        <w:t xml:space="preserve">5</w:t>
      </w:r>
      <w:r>
        <w:rPr>
          <w:rStyle w:val="1352"/>
          <w:rFonts w:hint="eastAsia" w:ascii="宋体" w:hAnsi="宋体" w:eastAsia="宋体" w:cs="宋体"/>
          <w:bCs/>
          <w:color w:val="000000" w:themeColor="text1"/>
          <w:spacing w:val="0"/>
          <w:sz w:val="24"/>
          <w:highlight w:val="none"/>
          <w14:textFill>
            <w14:solidFill>
              <w14:schemeClr w14:val="tx1"/>
            </w14:solidFill>
          </w14:textFill>
        </w:rPr>
        <w:t xml:space="preserve">.2 服务</w:t>
      </w:r>
      <w:r>
        <w:rPr>
          <w:rStyle w:val="1352"/>
          <w:rFonts w:hint="eastAsia" w:ascii="宋体" w:hAnsi="宋体" w:eastAsia="宋体" w:cs="宋体"/>
          <w:bCs/>
          <w:color w:val="000000" w:themeColor="text1"/>
          <w:spacing w:val="0"/>
          <w:sz w:val="24"/>
          <w:highlight w:val="none"/>
          <w:lang w:val="en-US"/>
          <w14:textFill>
            <w14:solidFill>
              <w14:schemeClr w14:val="tx1"/>
            </w14:solidFill>
          </w14:textFill>
        </w:rPr>
        <w:t xml:space="preserve">地点</w:t>
      </w:r>
      <w:r>
        <w:rPr>
          <w:rStyle w:val="1352"/>
          <w:rFonts w:hint="eastAsia" w:ascii="宋体" w:hAnsi="宋体" w:eastAsia="宋体" w:cs="宋体"/>
          <w:bCs/>
          <w:color w:val="000000" w:themeColor="text1"/>
          <w:spacing w:val="0"/>
          <w:sz w:val="24"/>
          <w:highlight w:val="none"/>
          <w14:textFill>
            <w14:solidFill>
              <w14:schemeClr w14:val="tx1"/>
            </w14:solidFill>
          </w14:textFill>
        </w:rPr>
        <w:t xml:space="preserve">：</w:t>
      </w:r>
      <w:r>
        <w:rPr>
          <w:rStyle w:val="1352"/>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2"/>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2"/>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76" w:name="_Toc11784"/>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六、支付方式</w:t>
      </w:r>
      <w:bookmarkEnd w:id="76"/>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6.1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结付程序：</w:t>
      </w:r>
      <w:bookmarkStart w:id="77" w:name="jiefuchengxu"/>
      <w:r/>
      <w:bookmarkEnd w:id="77"/>
      <w:r>
        <w:rPr>
          <w:rFonts w:hint="eastAsia" w:ascii="宋体" w:hAnsi="宋体" w:eastAsia="宋体" w:cs="宋体"/>
          <w:b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p>
    <w:p>
      <w:pPr>
        <w:ind w:firstLine="480"/>
        <w:jc w:val="both"/>
        <w:keepLines w:val="0"/>
        <w:keepNext w:val="0"/>
        <w:pageBreakBefore w:val="0"/>
        <w:spacing w:line="500" w:lineRule="exact"/>
        <w:shd w:val="clear" w:color="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6.2</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结付期限：</w:t>
      </w:r>
      <w:bookmarkStart w:id="78" w:name="jiefuqixian"/>
      <w:r/>
      <w:bookmarkEnd w:id="78"/>
      <w:r>
        <w:rPr>
          <w:rFonts w:hint="eastAsia" w:ascii="宋体" w:hAnsi="宋体" w:eastAsia="宋体" w:cs="宋体"/>
          <w:b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p>
    <w:p>
      <w:pPr>
        <w:ind w:firstLine="47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6.3</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乙方收款账户：</w:t>
      </w:r>
      <w:bookmarkStart w:id="79" w:name="yifangzhanghao"/>
      <w:r/>
      <w:bookmarkEnd w:id="79"/>
      <w:r>
        <w:rPr>
          <w:rFonts w:hint="eastAsia" w:ascii="宋体" w:hAnsi="宋体" w:eastAsia="宋体" w:cs="宋体"/>
          <w:b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6.4</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甲方合同款支付方式：</w:t>
      </w:r>
      <w:bookmarkStart w:id="80" w:name="hetongzhifutype"/>
      <w:r/>
      <w:bookmarkEnd w:id="80"/>
      <w:r>
        <w:rPr>
          <w:rFonts w:hint="eastAsia" w:ascii="宋体" w:hAnsi="宋体" w:eastAsia="宋体" w:cs="宋体"/>
          <w:bCs/>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（若乙方为中小企业，不得强制其接受非现金支付方式）。</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1" w:name="_Toc11218"/>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七、税</w:t>
      </w:r>
      <w:bookmarkEnd w:id="81"/>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 本合同执行中相关的一切税费均由乙方负担。</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2" w:name="_Toc16580"/>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八、管理事项</w:t>
      </w:r>
      <w:bookmarkEnd w:id="82"/>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 按招标内容要求以及响应单位的承诺项目阐述。</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3" w:name="_Toc25963"/>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九、双方权利义务</w:t>
      </w:r>
      <w:bookmarkEnd w:id="83"/>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9.1 甲方的权利和义务</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（1）按招标文件规定向乙方支付服务费用。</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（2）负责处理非乙方原因而产生的各种纠纷。</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（3）法规、政策规定由甲方承担的其他责任。</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（4）合同履行期内，当出现相关法律修正或上级行政部门出台相关政策与本合同约定不相符，甲方有权调整合同内容或提前终止本合同，但不承担违约责任。</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9.2 乙方的权利和义务</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（1）乙方所提供服务的质量应与招标文件规定及投标文件承诺的内容相一致。</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6"/>
          <w:sz w:val="24"/>
          <w:szCs w:val="22"/>
          <w:highlight w:val="none"/>
          <w:lang w:val="en-US" w:eastAsia="zh-CN" w:bidi="ar-SA"/>
          <w14:textFill>
            <w14:solidFill>
              <w14:schemeClr w14:val="tx1"/>
            </w14:solidFill>
          </w14:textFill>
        </w:rPr>
        <w:t xml:space="preserve">乙方应独立承担服务中的各类责任（保密责任、安全责任、用工责任和经济责任等）。</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（3）法规、政策规定由乙方承担的其他责任。</w:t>
      </w:r>
      <w:r/>
    </w:p>
    <w:p>
      <w:pPr>
        <w:ind w:firstLine="482"/>
        <w:jc w:val="both"/>
        <w:keepLines w:val="0"/>
        <w:keepNext w:val="0"/>
        <w:pageBreakBefore w:val="0"/>
        <w:spacing w:line="500" w:lineRule="exact"/>
        <w:shd w:val="clear" w:color="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本合同履行期间，病人监测数据传输并存储到甲方服务器，甲方有权随时查看、调阅相关资料，监测平台完成与医院信息系统对接（含接口费）。因乙方信息系统和设备故障原因导致数据丢失、损坏等情形造成的损失由乙方全额承担。</w:t>
      </w:r>
      <w:r/>
    </w:p>
    <w:p>
      <w:pPr>
        <w:ind w:firstLine="482"/>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（5）乙方因仪器故障、监测等原因未及时预警通知，导致患者出现意外情况（包括但不限于伤亡、患者投诉、纠纷等），乙方承担由此产生的受检者（患者）索赔等责任以及甲方的一切损失。</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4" w:name="_Toc25005"/>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十、服务质量</w:t>
      </w:r>
      <w:bookmarkEnd w:id="84"/>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10.1 乙方提供的管理服务应达到投标文件所约定的目标。对达标的理解有异议的，由双方共同认可的第三方予以评定。</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5" w:name="_Toc12337"/>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十一、违约责任</w:t>
      </w:r>
      <w:bookmarkEnd w:id="85"/>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11.1 甲方违反合同的约定，使乙方未完成规定管理目标，乙方有权要求甲方在一定期限内解决，逾期未解决的，乙方有权终止合同，造成乙方经济损失的，甲方给予乙方经济赔偿。</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11.2 甲方对乙方进行考核</w:t>
      </w:r>
      <w:r>
        <w:rPr>
          <w:rFonts w:hint="eastAsia" w:ascii="宋体" w:hAnsi="宋体" w:eastAsia="宋体" w:cs="宋体"/>
          <w:b/>
          <w:color w:val="000000" w:themeColor="text1"/>
          <w:sz w:val="24"/>
          <w:szCs w:val="22"/>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按考核结果给付费用。</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甲方逾期办理合同款支付的，应当支付逾期利息，且逾期利息的利率不得低于合同订立时1年期贷款市场报价利率。</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11.3 乙方违反合同的约定，未能达到约定的管理目标，甲方有权要求乙方限期整改，逾期未整改的，甲方有权终止合同，造成甲方经济损失的，乙方给予甲方赔偿。</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6" w:name="_Toc13564"/>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十二、不可抗力事件处理</w:t>
      </w:r>
      <w:bookmarkEnd w:id="86"/>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12.1 在合同有效期内，任何一方因不可抗力事件导致不能履行合同，则合同履行期可延长，其延长期与不可抗力影响期相同。</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12.2 不可抗力事件发生后，应立即通知对方，并寄送有关权威机构出具的证明。</w:t>
      </w:r>
      <w:r/>
    </w:p>
    <w:p>
      <w:pPr>
        <w:ind w:firstLine="47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12.3 不可抗力事件延续120天以上，双方应通过友好协商，确定是否继续履行合同。</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7" w:name="_Toc26378"/>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十三、诉讼</w:t>
      </w:r>
      <w:bookmarkEnd w:id="87"/>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13.1 双方在执行合同中所发生的一切争议，应通过协商解决。如协商不成，可向合同签订地法院起诉，合同签订地在此约定为张家港市。</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8" w:name="_Toc6979"/>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十四、合同其他文件</w:t>
      </w:r>
      <w:bookmarkEnd w:id="88"/>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14.1</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下列文件为本合同不可分割部份，与本合同具有同等效力。</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（1）中标通知书；</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（2）乙方中标的投标文件；</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（3）招标文件；</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（4）乙方在招投标过程中所作的其他承诺、声明、书面澄清等。</w:t>
      </w:r>
      <w:r/>
    </w:p>
    <w:p>
      <w:pPr>
        <w:keepLines w:val="0"/>
        <w:keepNext w:val="0"/>
        <w:pageBreakBefore w:val="0"/>
        <w:spacing w:line="500" w:lineRule="exact"/>
        <w:widowControl/>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outlineLvl w:val="1"/>
      </w:pPr>
      <w:r/>
      <w:bookmarkStart w:id="89" w:name="_Toc15456"/>
      <w:r>
        <w:rPr>
          <w:rFonts w:hint="eastAsia" w:ascii="宋体" w:hAnsi="宋体" w:eastAsia="宋体" w:cs="宋体"/>
          <w:b/>
          <w:bCs/>
          <w:color w:val="000000" w:themeColor="text1"/>
          <w:spacing w:val="0"/>
          <w:sz w:val="28"/>
          <w:szCs w:val="28"/>
          <w:highlight w:val="none"/>
          <w:lang w:val="en-US" w:eastAsia="zh-CN"/>
          <w14:textFill>
            <w14:solidFill>
              <w14:schemeClr w14:val="tx1"/>
            </w14:solidFill>
          </w14:textFill>
        </w:rPr>
        <w:t xml:space="preserve">十五、合同生效及其它</w:t>
      </w:r>
      <w:bookmarkEnd w:id="89"/>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15.1</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合同经双方法定代表人</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（或负责人）</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或授权委托代表人签字并加盖单位公章后生效,生效后至张家港市政府采购管理中心备案。</w:t>
      </w:r>
      <w:r/>
    </w:p>
    <w:p>
      <w:pPr>
        <w:ind w:firstLine="470"/>
        <w:jc w:val="both"/>
        <w:keepLines w:val="0"/>
        <w:keepNext w:val="0"/>
        <w:pageBreakBefore w:val="0"/>
        <w:spacing w:line="44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15.2 本合同未尽事宜，</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遵照《民法典》有关条文执行。</w:t>
      </w:r>
      <w:r/>
    </w:p>
    <w:p>
      <w:pPr>
        <w:ind w:firstLine="480"/>
        <w:jc w:val="both"/>
        <w:keepLines w:val="0"/>
        <w:keepNext w:val="0"/>
        <w:pageBreakBefore w:val="0"/>
        <w:spacing w:line="500" w:lineRule="exac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15.3 本合同正本一式六份，具有同等法律效力，甲方执三份，乙方、张家港市政府采购管理中心、苏州政合信咨询管理服务有限公司各执一份。</w:t>
      </w:r>
      <w:r/>
    </w:p>
    <w:p>
      <w:pPr>
        <w:ind w:firstLine="480"/>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bl>
      <w:tblPr>
        <w:tblStyle w:val="1176"/>
        <w:tblW w:w="9880" w:type="dxa"/>
        <w:tblInd w:w="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80"/>
      </w:tblGrid>
      <w:tr>
        <w:trPr>
          <w:trHeight w:val="2421"/>
        </w:trPr>
        <w:tc>
          <w:tcPr>
            <w:tcW w:w="9880" w:type="dxa"/>
            <w:textDirection w:val="lrTb"/>
            <w:noWrap w:val="false"/>
          </w:tcPr>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甲方：</w:t>
            </w:r>
            <w:bookmarkStart w:id="90" w:name="jianshedanwei_2"/>
            <w:r/>
            <w:bookmarkEnd w:id="90"/>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地址：</w:t>
            </w:r>
            <w:bookmarkStart w:id="91" w:name="jianshedanweiaddress"/>
            <w:r/>
            <w:bookmarkEnd w:id="91"/>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法定代表人或授权代表：</w:t>
            </w:r>
            <w:bookmarkStart w:id="92" w:name="jianshedanweifaren"/>
            <w:r/>
            <w:bookmarkEnd w:id="92"/>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联系电话：</w:t>
            </w:r>
            <w:bookmarkStart w:id="93" w:name="jianshedanweifarentel"/>
            <w:r/>
            <w:bookmarkEnd w:id="93"/>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签订日期：</w:t>
            </w:r>
            <w:bookmarkStart w:id="94" w:name="jiafangqiandingdate"/>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      年    月  日</w:t>
            </w:r>
            <w:bookmarkEnd w:id="94"/>
            <w:r/>
            <w:r/>
          </w:p>
        </w:tc>
      </w:tr>
      <w:tr>
        <w:trPr>
          <w:trHeight w:val="2484"/>
        </w:trPr>
        <w:tc>
          <w:tcPr>
            <w:tcW w:w="9880" w:type="dxa"/>
            <w:textDirection w:val="lrTb"/>
            <w:noWrap w:val="false"/>
          </w:tcPr>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乙方：</w:t>
            </w:r>
            <w:bookmarkStart w:id="95" w:name="zhongbiaodanweiname_2"/>
            <w:r/>
            <w:bookmarkEnd w:id="95"/>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地址：</w:t>
            </w:r>
            <w:bookmarkStart w:id="96" w:name="zhongbiaodanweiaddress"/>
            <w:r/>
            <w:bookmarkEnd w:id="96"/>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法定代表人（或负责人）或授权代表：</w:t>
            </w:r>
            <w:bookmarkStart w:id="97" w:name="zhongbiaodanweifaren"/>
            <w:r/>
            <w:bookmarkEnd w:id="97"/>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联系电话：</w:t>
            </w:r>
            <w:bookmarkStart w:id="98" w:name="zhongbiaodanweifarentel"/>
            <w:r/>
            <w:bookmarkEnd w:id="98"/>
            <w:r/>
            <w:r/>
          </w:p>
          <w:p>
            <w:pPr>
              <w:ind w:firstLine="0"/>
              <w:jc w:val="both"/>
              <w:spacing w:after="0" w:line="360" w:lineRule="auto"/>
              <w:shd w:val="clear" w:color="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签订日期： </w:t>
            </w:r>
            <w:bookmarkStart w:id="99" w:name="yifangqiandingdate"/>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     年    月  日</w:t>
            </w:r>
            <w:bookmarkEnd w:id="99"/>
            <w:r/>
            <w:r/>
          </w:p>
        </w:tc>
      </w:tr>
      <w:tr>
        <w:trPr>
          <w:trHeight w:val="90"/>
        </w:trPr>
        <w:tc>
          <w:tcPr>
            <w:tcW w:w="9880" w:type="dxa"/>
            <w:textDirection w:val="lrTb"/>
            <w:noWrap w:val="false"/>
          </w:tcPr>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代理机构：</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地址：</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经办人：</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联系电话：</w:t>
            </w:r>
            <w:r/>
          </w:p>
          <w:p>
            <w:pPr>
              <w:ind w:left="0" w:firstLine="0"/>
              <w:jc w:val="left"/>
              <w:spacing w:after="0"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签订日期：      年    月  日</w:t>
            </w:r>
            <w:r/>
          </w:p>
        </w:tc>
      </w:tr>
    </w:tbl>
    <w:p>
      <w:pPr>
        <w:spacing w:line="520" w:lineRule="atLeast"/>
        <w:shd w:val="clear" w:color="auto"/>
        <w:rPr>
          <w:rFonts w:hint="eastAsia" w:ascii="宋体" w:hAnsi="宋体" w:eastAsia="宋体" w:cs="宋体"/>
          <w:color w:val="000000" w:themeColor="text1"/>
          <w:sz w:val="20"/>
          <w:highlight w:val="none"/>
          <w14:textFill>
            <w14:solidFill>
              <w14:schemeClr w14:val="tx1"/>
            </w14:solidFill>
          </w14:textFill>
        </w:rPr>
        <w:sectPr>
          <w:headerReference w:type="default" r:id="rId13"/>
          <w:headerReference w:type="first" r:id="rId14"/>
          <w:footerReference w:type="default" r:id="rId29"/>
          <w:footerReference w:type="first" r:id="rId30"/>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0"/>
          <w:highlight w:val="none"/>
          <w14:textFill>
            <w14:solidFill>
              <w14:schemeClr w14:val="tx1"/>
            </w14:solidFill>
          </w14:textFill>
        </w:rPr>
      </w:r>
      <w:r/>
    </w:p>
    <w:p>
      <w:pPr>
        <w:jc w:val="center"/>
        <w:keepLines w:val="0"/>
        <w:keepNext w:val="0"/>
        <w:pageBreakBefore w:val="0"/>
        <w:spacing w:before="157" w:after="157" w:line="520" w:lineRule="exact"/>
        <w:shd w:val="clear" w:color="auto"/>
        <w:widowControl w:val="off"/>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远程动态心电监测服务</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协议书</w:t>
      </w:r>
      <w:r/>
    </w:p>
    <w:p>
      <w:pPr>
        <w:ind w:firstLine="420"/>
        <w:keepLines w:val="0"/>
        <w:keepNext w:val="0"/>
        <w:pageBreakBefore w:val="0"/>
        <w:spacing w:line="520" w:lineRule="atLeast"/>
        <w:shd w:val="clear" w:color="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fldChar w:fldCharType="begin"/>
      </w:r>
      <w:r>
        <w:rPr>
          <w:rFonts w:hint="eastAsia" w:ascii="宋体" w:hAnsi="宋体" w:eastAsia="宋体" w:cs="宋体"/>
          <w:color w:val="000000" w:themeColor="text1"/>
          <w:sz w:val="21"/>
          <w:szCs w:val="22"/>
          <w:highlight w:val="none"/>
          <w14:textFill>
            <w14:solidFill>
              <w14:schemeClr w14:val="tx1"/>
            </w14:solidFill>
          </w14:textFill>
        </w:rPr>
        <w:instrText xml:space="preserve"> HYPERLINK "http://www.86exp.com/hetong/" </w:instrText>
      </w:r>
      <w:r>
        <w:rPr>
          <w:rFonts w:hint="eastAsia" w:ascii="宋体" w:hAnsi="宋体" w:eastAsia="宋体" w:cs="宋体"/>
          <w:color w:val="000000" w:themeColor="text1"/>
          <w:sz w:val="21"/>
          <w:szCs w:val="22"/>
          <w:highlight w:val="none"/>
          <w14:textFill>
            <w14:solidFill>
              <w14:schemeClr w14:val="tx1"/>
            </w14:solidFill>
          </w14:textFill>
        </w:rPr>
        <w:fldChar w:fldCharType="separate"/>
      </w:r>
      <w:r>
        <w:rPr>
          <w:rFonts w:hint="eastAsia" w:ascii="宋体" w:hAnsi="宋体" w:eastAsia="宋体" w:cs="宋体"/>
          <w:b/>
          <w:color w:val="000000" w:themeColor="text1"/>
          <w:sz w:val="24"/>
          <w:szCs w:val="20"/>
          <w:highlight w:val="none"/>
          <w14:textFill>
            <w14:solidFill>
              <w14:schemeClr w14:val="tx1"/>
            </w14:solidFill>
          </w14:textFill>
        </w:rPr>
        <w:t xml:space="preserve">甲方</w:t>
      </w:r>
      <w:r>
        <w:rPr>
          <w:rFonts w:hint="eastAsia" w:ascii="宋体" w:hAnsi="宋体" w:eastAsia="宋体" w:cs="宋体"/>
          <w:b/>
          <w:color w:val="000000" w:themeColor="text1"/>
          <w:sz w:val="24"/>
          <w:szCs w:val="20"/>
          <w:highlight w:val="none"/>
          <w14:textFill>
            <w14:solidFill>
              <w14:schemeClr w14:val="tx1"/>
            </w14:solidFill>
          </w14:textFill>
        </w:rPr>
        <w:fldChar w:fldCharType="end"/>
      </w:r>
      <w:r>
        <w:rPr>
          <w:rFonts w:hint="eastAsia" w:ascii="宋体" w:hAnsi="宋体" w:eastAsia="宋体" w:cs="宋体"/>
          <w:b/>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u w:val="single"/>
          <w14:textFill>
            <w14:solidFill>
              <w14:schemeClr w14:val="tx1"/>
            </w14:solidFill>
          </w14:textFill>
        </w:rPr>
        <w:t xml:space="preserve">张家港市第一人民医院</w:t>
      </w:r>
      <w:r>
        <w:rPr>
          <w:rFonts w:hint="eastAsia" w:ascii="宋体" w:hAnsi="宋体" w:eastAsia="宋体" w:cs="宋体"/>
          <w:color w:val="000000" w:themeColor="text1"/>
          <w:sz w:val="24"/>
          <w:szCs w:val="20"/>
          <w:highlight w:val="none"/>
          <w14:textFill>
            <w14:solidFill>
              <w14:schemeClr w14:val="tx1"/>
            </w14:solidFill>
          </w14:textFill>
        </w:rPr>
        <w:t xml:space="preserve">（以下简称：甲方）</w:t>
      </w:r>
      <w:r/>
    </w:p>
    <w:p>
      <w:pPr>
        <w:ind w:firstLine="420"/>
        <w:keepLines w:val="0"/>
        <w:keepNext w:val="0"/>
        <w:pageBreakBefore w:val="0"/>
        <w:spacing w:line="520" w:lineRule="atLeast"/>
        <w:shd w:val="clear" w:color="auto"/>
        <w:widowControl w:val="off"/>
        <w:rPr>
          <w:rFonts w:hint="eastAsia" w:ascii="宋体" w:hAnsi="宋体" w:eastAsia="宋体" w:cs="宋体"/>
          <w:color w:val="000000" w:themeColor="text1"/>
          <w:sz w:val="24"/>
          <w:szCs w:val="20"/>
          <w:highlight w:val="none"/>
          <w:u w:val="singl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fldChar w:fldCharType="begin"/>
      </w:r>
      <w:r>
        <w:rPr>
          <w:rFonts w:hint="eastAsia" w:ascii="宋体" w:hAnsi="宋体" w:eastAsia="宋体" w:cs="宋体"/>
          <w:color w:val="000000" w:themeColor="text1"/>
          <w:sz w:val="21"/>
          <w:szCs w:val="22"/>
          <w:highlight w:val="none"/>
          <w14:textFill>
            <w14:solidFill>
              <w14:schemeClr w14:val="tx1"/>
            </w14:solidFill>
          </w14:textFill>
        </w:rPr>
        <w:instrText xml:space="preserve"> HYPERLINK "http://www.86exp.com/hetong/" </w:instrText>
      </w:r>
      <w:r>
        <w:rPr>
          <w:rFonts w:hint="eastAsia" w:ascii="宋体" w:hAnsi="宋体" w:eastAsia="宋体" w:cs="宋体"/>
          <w:color w:val="000000" w:themeColor="text1"/>
          <w:sz w:val="21"/>
          <w:szCs w:val="22"/>
          <w:highlight w:val="none"/>
          <w14:textFill>
            <w14:solidFill>
              <w14:schemeClr w14:val="tx1"/>
            </w14:solidFill>
          </w14:textFill>
        </w:rPr>
        <w:fldChar w:fldCharType="separate"/>
      </w:r>
      <w:r>
        <w:rPr>
          <w:rFonts w:hint="eastAsia" w:ascii="宋体" w:hAnsi="宋体" w:eastAsia="宋体" w:cs="宋体"/>
          <w:b/>
          <w:color w:val="000000" w:themeColor="text1"/>
          <w:sz w:val="24"/>
          <w:szCs w:val="20"/>
          <w:highlight w:val="none"/>
          <w14:textFill>
            <w14:solidFill>
              <w14:schemeClr w14:val="tx1"/>
            </w14:solidFill>
          </w14:textFill>
        </w:rPr>
        <w:t xml:space="preserve">乙方</w:t>
      </w:r>
      <w:r>
        <w:rPr>
          <w:rFonts w:hint="eastAsia" w:ascii="宋体" w:hAnsi="宋体" w:eastAsia="宋体" w:cs="宋体"/>
          <w:b/>
          <w:color w:val="000000" w:themeColor="text1"/>
          <w:sz w:val="24"/>
          <w:szCs w:val="20"/>
          <w:highlight w:val="none"/>
          <w14:textFill>
            <w14:solidFill>
              <w14:schemeClr w14:val="tx1"/>
            </w14:solidFill>
          </w14:textFill>
        </w:rPr>
        <w:fldChar w:fldCharType="end"/>
      </w:r>
      <w:r>
        <w:rPr>
          <w:rFonts w:hint="eastAsia" w:ascii="宋体" w:hAnsi="宋体" w:eastAsia="宋体" w:cs="宋体"/>
          <w:b/>
          <w:color w:val="000000" w:themeColor="text1"/>
          <w:sz w:val="24"/>
          <w:szCs w:val="20"/>
          <w:highlight w:val="none"/>
          <w14:textFill>
            <w14:solidFill>
              <w14:schemeClr w14:val="tx1"/>
            </w14:solidFill>
          </w14:textFill>
        </w:rPr>
        <w:t xml:space="preserve">：</w:t>
      </w:r>
      <w:r>
        <w:rPr>
          <w:rFonts w:hint="eastAsia" w:ascii="宋体" w:hAnsi="宋体" w:eastAsia="宋体" w:cs="宋体"/>
          <w:b/>
          <w:color w:val="000000" w:themeColor="text1"/>
          <w:sz w:val="24"/>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（以下简称：乙方）</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乙双方经平等协商，就开展远程动态心电监测服务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，达成一致意见，并根据《中华人民共和国民法典》等相关法律、法规，签署如下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协议书</w:t>
      </w:r>
      <w:r>
        <w:rPr>
          <w:rFonts w:hint="eastAsia" w:ascii="宋体" w:hAnsi="宋体" w:eastAsia="宋体" w:cs="宋体"/>
          <w:color w:val="000000" w:themeColor="text1"/>
          <w:sz w:val="24"/>
          <w:szCs w:val="24"/>
          <w:highlight w:val="none"/>
          <w14:textFill>
            <w14:solidFill>
              <w14:schemeClr w14:val="tx1"/>
            </w14:solidFill>
          </w14:textFill>
        </w:rPr>
        <w:t xml:space="preserve">及附件（附件与正文有同等法律效力），以供双方守信执行。</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第一条 合作内容</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远程动态心电监测项目是指</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甲方负责采集甲方的患者（以下简称“患者”）心电（或血压，如有；以下统称为“心电”）数据，</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依托通信网络技术、物联网技术、云服务技术等信息化技术，将患者心电数据传输至乙方的平台系统，进而</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由乙方</w:t>
      </w:r>
      <w:r>
        <w:rPr>
          <w:rFonts w:hint="eastAsia" w:ascii="宋体" w:hAnsi="宋体" w:eastAsia="宋体" w:cs="宋体"/>
          <w:color w:val="000000" w:themeColor="text1"/>
          <w:sz w:val="24"/>
          <w:szCs w:val="24"/>
          <w:highlight w:val="none"/>
          <w14:textFill>
            <w14:solidFill>
              <w14:schemeClr w14:val="tx1"/>
            </w14:solidFill>
          </w14:textFill>
        </w:rPr>
        <w:t xml:space="preserve">对心电数据进行处理、分析或监测，并向甲方提供相关分析咨询意见及实时监测服务。具体合作内容按照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约定开展：</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1.1甲乙双方开展远程动态心电监测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，所需的采集端设备（以下简称“设备”），由乙方提供给甲方使用，设备所有权归属乙方，甲方应妥善保管，若因甲方保管不善导致设备损毁、丢失的，按照</w:t>
      </w:r>
      <w:r>
        <w:rPr>
          <w:rFonts w:hint="eastAsia" w:ascii="宋体" w:hAnsi="宋体" w:cs="宋体"/>
          <w:color w:val="000000" w:themeColor="text1"/>
          <w:sz w:val="24"/>
          <w:szCs w:val="24"/>
          <w:highlight w:val="none"/>
          <w:lang w:val="en-US" w:eastAsia="zh-CN"/>
          <w14:textFill>
            <w14:solidFill>
              <w14:schemeClr w14:val="tx1"/>
            </w14:solidFill>
          </w14:textFill>
        </w:rPr>
        <w:t xml:space="preserve">设备成本价向</w:t>
      </w:r>
      <w:r>
        <w:rPr>
          <w:rFonts w:hint="eastAsia" w:ascii="宋体" w:hAnsi="宋体" w:eastAsia="宋体" w:cs="宋体"/>
          <w:color w:val="000000" w:themeColor="text1"/>
          <w:sz w:val="24"/>
          <w:szCs w:val="24"/>
          <w:highlight w:val="none"/>
          <w14:textFill>
            <w14:solidFill>
              <w14:schemeClr w14:val="tx1"/>
            </w14:solidFill>
          </w14:textFill>
        </w:rPr>
        <w:t xml:space="preserve">乙方进行赔偿；若是设备自身故障，甲方不承担责任且乙方应当按合同约定提供相关服务。乙方向甲方提供设备清单如下：</w:t>
      </w:r>
      <w:r/>
    </w:p>
    <w:tbl>
      <w:tblPr>
        <w:tblStyle w:val="1148"/>
        <w:tblW w:w="9958" w:type="dxa"/>
        <w:tblInd w:w="0" w:type="dxa"/>
        <w:tblLayout w:type="fixed"/>
        <w:tblCellMar>
          <w:left w:w="108" w:type="dxa"/>
          <w:top w:w="0" w:type="dxa"/>
          <w:right w:w="108" w:type="dxa"/>
          <w:bottom w:w="0" w:type="dxa"/>
        </w:tblCellMar>
        <w:tblLook w:val="04A0" w:firstRow="1" w:lastRow="0" w:firstColumn="1" w:lastColumn="0" w:noHBand="0" w:noVBand="1"/>
      </w:tblPr>
      <w:tblGrid>
        <w:gridCol w:w="1640"/>
        <w:gridCol w:w="2306"/>
        <w:gridCol w:w="1710"/>
        <w:gridCol w:w="2114"/>
        <w:gridCol w:w="2188"/>
      </w:tblGrid>
      <w:tr>
        <w:trPr>
          <w:trHeight w:val="671"/>
        </w:trPr>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2306"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1710"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数量（套）</w:t>
            </w:r>
            <w:r/>
          </w:p>
        </w:tc>
        <w:tc>
          <w:tcPr>
            <w:shd w:val="clear" w:color="auto" w:fill="auto"/>
            <w:tcBorders>
              <w:top w:val="single" w:color="auto" w:sz="4" w:space="0"/>
              <w:left w:val="none" w:color="000000" w:sz="4" w:space="0"/>
              <w:bottom w:val="single" w:color="auto" w:sz="4" w:space="0"/>
              <w:right w:val="single" w:color="auto" w:sz="4" w:space="0"/>
            </w:tcBorders>
            <w:tcW w:w="2188"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trHeight w:val="817"/>
        </w:trPr>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306" w:type="dxa"/>
            <w:vAlign w:val="center"/>
            <w:textDirection w:val="lrTb"/>
            <w:noWrap w:val="false"/>
          </w:tcPr>
          <w:p>
            <w:pPr>
              <w:jc w:val="left"/>
              <w:keepLines w:val="0"/>
              <w:keepNext w:val="0"/>
              <w:pageBreakBefore w:val="0"/>
              <w:spacing w:line="520" w:lineRule="atLeast"/>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710"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188" w:type="dxa"/>
            <w:vAlign w:val="center"/>
            <w:textDirection w:val="lrTb"/>
            <w:noWrap w:val="false"/>
          </w:tcPr>
          <w:p>
            <w:pPr>
              <w:jc w:val="center"/>
              <w:keepLines w:val="0"/>
              <w:keepNext w:val="0"/>
              <w:pageBreakBefore w:val="0"/>
              <w:spacing w:line="520" w:lineRule="atLeast"/>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keepLines w:val="0"/>
        <w:keepNext w:val="0"/>
        <w:pageBreakBefore w:val="0"/>
        <w:spacing w:before="156" w:line="520"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1.2乙方向甲方提供的远程心电服务的具体内容如下：</w:t>
      </w:r>
      <w:r/>
    </w:p>
    <w:tbl>
      <w:tblPr>
        <w:tblStyle w:val="1148"/>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8"/>
        <w:gridCol w:w="3086"/>
        <w:gridCol w:w="2384"/>
        <w:gridCol w:w="2570"/>
      </w:tblGrid>
      <w:tr>
        <w:trPr>
          <w:trHeight w:val="454"/>
        </w:trPr>
        <w:tc>
          <w:tcPr>
            <w:tcW w:w="1918" w:type="dxa"/>
            <w:vAlign w:val="center"/>
            <w:textDirection w:val="lrTb"/>
            <w:noWrap w:val="false"/>
          </w:tcPr>
          <w:p>
            <w:pPr>
              <w:jc w:val="center"/>
              <w:keepLines w:val="0"/>
              <w:keepNext w:val="0"/>
              <w:pageBreakBefore w:val="0"/>
              <w:spacing w:line="520" w:lineRule="atLeast"/>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服务名称</w:t>
            </w:r>
            <w:r/>
          </w:p>
        </w:tc>
        <w:tc>
          <w:tcPr>
            <w:tcW w:w="3086" w:type="dxa"/>
            <w:vAlign w:val="center"/>
            <w:textDirection w:val="lrTb"/>
            <w:noWrap w:val="false"/>
          </w:tcPr>
          <w:p>
            <w:pPr>
              <w:jc w:val="center"/>
              <w:keepLines w:val="0"/>
              <w:keepNext w:val="0"/>
              <w:pageBreakBefore w:val="0"/>
              <w:spacing w:line="520" w:lineRule="atLeast"/>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2384" w:type="dxa"/>
            <w:vAlign w:val="center"/>
            <w:textDirection w:val="lrTb"/>
            <w:noWrap w:val="false"/>
          </w:tcPr>
          <w:p>
            <w:pPr>
              <w:jc w:val="center"/>
              <w:keepLines w:val="0"/>
              <w:keepNext w:val="0"/>
              <w:pageBreakBefore w:val="0"/>
              <w:spacing w:line="520" w:lineRule="atLeast"/>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合作期间</w:t>
            </w:r>
            <w:r/>
          </w:p>
        </w:tc>
        <w:tc>
          <w:tcPr>
            <w:tcW w:w="2570" w:type="dxa"/>
            <w:vAlign w:val="center"/>
            <w:textDirection w:val="lrTb"/>
            <w:noWrap w:val="false"/>
          </w:tcPr>
          <w:p>
            <w:pPr>
              <w:jc w:val="center"/>
              <w:keepLines w:val="0"/>
              <w:keepNext w:val="0"/>
              <w:pageBreakBefore w:val="0"/>
              <w:spacing w:line="520" w:lineRule="atLeast"/>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收费标准</w:t>
            </w:r>
            <w:r/>
          </w:p>
          <w:p>
            <w:pPr>
              <w:jc w:val="center"/>
              <w:keepLines w:val="0"/>
              <w:keepNext w:val="0"/>
              <w:pageBreakBefore w:val="0"/>
              <w:spacing w:line="520" w:lineRule="atLeast"/>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（人民币元）</w:t>
            </w:r>
            <w:r/>
          </w:p>
        </w:tc>
      </w:tr>
      <w:tr>
        <w:trPr>
          <w:trHeight w:val="888"/>
        </w:trPr>
        <w:tc>
          <w:tcPr>
            <w:tcW w:w="1918" w:type="dxa"/>
            <w:vAlign w:val="center"/>
            <w:textDirection w:val="lrTb"/>
            <w:noWrap w:val="false"/>
          </w:tcPr>
          <w:p>
            <w:pPr>
              <w:keepLines w:val="0"/>
              <w:keepNext w:val="0"/>
              <w:pageBreakBefore w:val="0"/>
              <w:spacing w:line="520" w:lineRule="atLeas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086" w:type="dxa"/>
            <w:vAlign w:val="center"/>
            <w:textDirection w:val="lrTb"/>
            <w:noWrap w:val="false"/>
          </w:tcPr>
          <w:p>
            <w:pPr>
              <w:keepLines w:val="0"/>
              <w:keepNext w:val="0"/>
              <w:pageBreakBefore w:val="0"/>
              <w:spacing w:before="156" w:line="520" w:lineRule="atLeas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84" w:type="dxa"/>
            <w:vAlign w:val="center"/>
            <w:textDirection w:val="lrTb"/>
            <w:noWrap w:val="false"/>
          </w:tcPr>
          <w:p>
            <w:pPr>
              <w:keepLines w:val="0"/>
              <w:keepNext w:val="0"/>
              <w:pageBreakBefore w:val="0"/>
              <w:spacing w:line="520" w:lineRule="atLeas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70" w:type="dxa"/>
            <w:vAlign w:val="center"/>
            <w:textDirection w:val="lrTb"/>
            <w:noWrap w:val="false"/>
          </w:tcPr>
          <w:p>
            <w:pPr>
              <w:keepLines w:val="0"/>
              <w:keepNext w:val="0"/>
              <w:pageBreakBefore w:val="0"/>
              <w:spacing w:line="520" w:lineRule="atLeas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相关时间记录以乙方平台为准；</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价款均为含增值税价。</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1.2.1合作期限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年，自</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日至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日。乙方为甲方提供的服务仅限于对远程心电数据提供咨询服务，心血管疾病的相关诊疗和咨询并非乙方服务范围</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第二条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协议金额及支付</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2.1甲方应将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本协议</w:t>
      </w:r>
      <w:r>
        <w:rPr>
          <w:rFonts w:hint="eastAsia" w:ascii="宋体" w:hAnsi="宋体" w:eastAsia="宋体" w:cs="宋体"/>
          <w:color w:val="000000" w:themeColor="text1"/>
          <w:sz w:val="24"/>
          <w:szCs w:val="24"/>
          <w:highlight w:val="none"/>
          <w14:textFill>
            <w14:solidFill>
              <w14:schemeClr w14:val="tx1"/>
            </w14:solidFill>
          </w14:textFill>
        </w:rPr>
        <w:t xml:space="preserve">项下需向乙方支付的所有款项汇至乙方指定银行账户。否则，乙方不承担由此产生的任何损失。乙方指定银行账户信息如下：</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公司名称：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银行帐号：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520" w:lineRule="atLeast"/>
        <w:shd w:val="clear" w:color="auto"/>
        <w:widowControl w:val="off"/>
        <w:rPr>
          <w:rFonts w:hint="eastAsia" w:ascii="宋体" w:hAnsi="宋体" w:eastAsia="宋体" w:cs="宋体"/>
          <w:i/>
          <w:i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2.2支付方式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除上述心电服务费外，乙方不收取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设备使用费等其他费用。</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第三条 承诺与保证</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3.1甲方需注意及履行下列事项，否则所产生责任由甲方承担：</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已经</w:t>
      </w:r>
      <w:r>
        <w:rPr>
          <w:rFonts w:hint="eastAsia" w:ascii="宋体" w:hAnsi="宋体" w:eastAsia="宋体" w:cs="宋体"/>
          <w:color w:val="000000" w:themeColor="text1"/>
          <w:sz w:val="24"/>
          <w:szCs w:val="24"/>
          <w:highlight w:val="none"/>
          <w14:textFill>
            <w14:solidFill>
              <w14:schemeClr w14:val="tx1"/>
            </w14:solidFill>
          </w14:textFill>
        </w:rPr>
        <w:t xml:space="preserve">取得登记生效的《医疗机构执业许可证》，具备与开展心电图检查相适应的诊疗科目，并负责心电图报告的采集、审核、打印及后续的处置、诊疗工作，负责指导患者诊疗并保持与患者及时联系；</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3.1.2甲方应具备与远程心电项目开展相适应的场地、硬件、网络环境等必要条件以及与远程心电项目开展相适应的医疗卫生人员，所采集的心电图不应出现图像信号干扰等采集质量不良的情况；</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3.1.3甲乙双方开展远程心电项目，甲方应告知患者：“1.远程心电服务的具体情况，2.患者心电数据等必要信息将传输予乙方，”并取得甲方所服务患者的必要授权；</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3.2乙方需注意及履行下列事项，否则所产生责任由乙方承担：</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3.2.1乙方已取得登记生效的《医疗机构执业许可证》，具备开展远程心电服务的执业资质、专业技术人员和信息技术保障措施；乙方在本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项下销售或提供的设备已完成必要的审批或备案手续，满足国家对医疗器械行业的监管要求；</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乙方拟进行网络、系统、设备升级及检修等可预见情况，可能导致无法正常为甲方提供服务的，乙方应提前合理时间通知甲方升级检修的时间和对开展远程心电项目可能的影响，通知方式包括但不限于电话、短信、电子邮件、微信、QQ，应保证甲方及时收到通知。甲方收到通知后应及时采取合理措施避免不利后果发生。甲方怠于采取合理措施的，乙方不承担与此相关的法律责任。</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第四条 心电监测服务特别约定事项</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4.1乙方提供本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第一条约定的心电监测服务，乙方需在发现患者发生了《远程心电监测警示范围》中约定的危急事件后，向患者的紧急联系人适时发出警示，具体的警示范围详见附件二：《远程心电监测警示范围》；</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乙方对《远程心电监测警示范围》约定事件的警示，仅限于“1.患者疑似心电事件的提示，2.提示关注患者身体健康状况和必要时及时就医”，而非心血管疾病的诊断意见和治疗方案，”乙方不对发出警示后的患者处置、诊疗承担任何责任</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患者的紧急联系人是指，患者佩戴设备过程中能够有效陪护、监护患者且能立即与患者建立有效联系的人员，例如临床科室、患者亲友、或患者本人（患者健康状况允许条件下）等；甲方应负责告知患者紧急联系人应具备的条件，并指导患者正确预留紧急联系人的手机号码；</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患者信息、患者紧急联系人的姓名、手机号码，由甲方工作人员在乙方平台系统的客户端录入，若信息录入错误或紧急联系人不符合约定要求的，致使乙方监测工作人员在监测过程中无法及时联系患者紧急联系人的，乙方不承担与此相关的任何不利后果。若存在录入多位紧急联系人的，乙方向其中任何一位紧急联系人发出通知，即视为已经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约定的警示义务；</w:t>
      </w:r>
      <w:r/>
    </w:p>
    <w:p>
      <w:pPr>
        <w:ind w:firstLine="480"/>
        <w:keepLines w:val="0"/>
        <w:keepNext w:val="0"/>
        <w:pageBreakBefore w:val="0"/>
        <w:spacing w:line="520" w:lineRule="atLeas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在心电监测过程中，乙方监测工作人员发现患者发生了《远程心电监测警示范围》中约定的危急事件后，应即时拨打紧急联系人的手机号码，乙方3次拨打后仍无法取得有效联系的，乙方应当及时发送预警短信且应及时通知甲方；如出现预警不及时通知导致患者出现意外情况（伤亡），乙方承担患者的全部责任以及甲方的损失</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在心电监测过程中，乙方监测工作人员发现患者发生了《远程心电监测警示范围》中约定的非危急事件后，乙方可视情况判断拨打紧急联系人的手机号码，乙方2次拨打后仍无法取得有效联系的，乙方应当及时发送预警短信且应及时通知甲方</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4.7</w:t>
      </w:r>
      <w:r>
        <w:rPr>
          <w:rFonts w:hint="eastAsia" w:ascii="宋体" w:hAnsi="宋体" w:eastAsia="宋体" w:cs="宋体"/>
          <w:strike w:val="0"/>
          <w:color w:val="000000" w:themeColor="text1"/>
          <w:sz w:val="24"/>
          <w:szCs w:val="24"/>
          <w:highlight w:val="none"/>
          <w14:textFill>
            <w14:solidFill>
              <w14:schemeClr w14:val="tx1"/>
            </w14:solidFill>
          </w14:textFill>
        </w:rPr>
        <w:t xml:space="preserve">同一非危急事件持续发生的，乙方首次完成该事件的警示后，无需就后续发生的同一事件再承担警示义务；</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4.8单次心电监测服务，乙方对收到的超出规定监测时长后的患者心电数据，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仍有</w:t>
      </w:r>
      <w:r>
        <w:rPr>
          <w:rFonts w:hint="eastAsia" w:ascii="宋体" w:hAnsi="宋体" w:eastAsia="宋体" w:cs="宋体"/>
          <w:color w:val="000000" w:themeColor="text1"/>
          <w:sz w:val="24"/>
          <w:szCs w:val="24"/>
          <w:highlight w:val="none"/>
          <w14:textFill>
            <w14:solidFill>
              <w14:schemeClr w14:val="tx1"/>
            </w14:solidFill>
          </w14:textFill>
        </w:rPr>
        <w:t xml:space="preserve">监测、警示义务；</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4.9在心电监测过程中，若不可归责于乙方的事项发生，导致乙方不能正常履行心电监测服务的，出于对患者信赖预期的保障，乙方应及时通知患者紧急联系人（方式包括但不限于电话、短信、微信、QQ）：“本次心电监测服务终止，患者可自行前往医院接受其他监测手段或者</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可自行选择</w:t>
      </w:r>
      <w:r>
        <w:rPr>
          <w:rFonts w:hint="eastAsia" w:ascii="宋体" w:hAnsi="宋体" w:eastAsia="宋体" w:cs="宋体"/>
          <w:color w:val="000000" w:themeColor="text1"/>
          <w:sz w:val="24"/>
          <w:szCs w:val="24"/>
          <w:highlight w:val="none"/>
          <w14:textFill>
            <w14:solidFill>
              <w14:schemeClr w14:val="tx1"/>
            </w14:solidFill>
          </w14:textFill>
        </w:rPr>
        <w:t xml:space="preserve">不进行监测，”通知完成后乙方不再承担监测、警示义务以及与此相关的不利后果；</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4.10就本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第四条约定的全部条款，甲方应当向患者进行明确告知、取得患者的知情同意并与患者签署本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附件一所列的《动态心电检查与监测知情同意书》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4.11如果乙方需要甲方医生参与质控工作的，乙方应当向甲方提出申请，经甲方同意后乙方应当为甲方医生的多点执业办理相关许可备案手续，甲方医生参与质控工作享受的质控绩效（以项目整体收费的8%计）由乙方承担。乙方应于每月月初向甲方财务处提供质控绩效明细表，此费用在甲方支付给乙方的费用里全额扣除。</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第五条 免责事项</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5.1下列不可归属于乙方责任的情况发生，致使乙方未能及时履行本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约定的义务的，乙方无需承担由此产生的任何不利后果：</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5.1.1患者主动或意外导致设备损坏、关机、主动或意外拆卸电极片等导致设备不能正常工作的情况；</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5.1.2患者所处环境有强磁场、患者剧烈运动等原因，致使设备传送的图像信号干扰；</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5.1.3甲乙双方开展远程心电项目合作，依赖于通信网络服务、云服务、物联网服务等第三方信息技术服务。在患者佩戴设备的过程中，若因患者所处区域的通信网络信号不良、通信网络通信号故障、通信网络资源限制、第三方云服务故障等情况，致使乙方未能及时履行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约定的义务的，乙方无需承担由此产生的不利后果；</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5.1.4其他非可归责于乙方的情况发生，致使乙方无法及时履行本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约定的义务的。</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5.2乙方不对未经乙方授权的任何存取或修改数据的行为造成的任何损害（包括但不限于未授权行为导致的服务中断及与服务中断相关的可能不利后果、利润或利息的损失、资料灭失等）承担责任。</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第六条 项目交付、安装、培训</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6.1甲方完成实施准备工作，且乙方接到甲方书面交货通知之日起7个工作日内，乙方应负责将设备交付至甲方指定交货地点；设备到达指定交货地点后，设备毁损、灭失的风险于交付时转移至甲方；</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6.2设备到达指定交货地点后，甲方应对</w:t>
      </w:r>
      <w:bookmarkStart w:id="100" w:name="_Hlk126692446"/>
      <w:r>
        <w:rPr>
          <w:rFonts w:hint="eastAsia" w:ascii="宋体" w:hAnsi="宋体" w:eastAsia="宋体" w:cs="宋体"/>
          <w:color w:val="000000" w:themeColor="text1"/>
          <w:sz w:val="24"/>
          <w:szCs w:val="24"/>
          <w:highlight w:val="none"/>
          <w14:textFill>
            <w14:solidFill>
              <w14:schemeClr w14:val="tx1"/>
            </w14:solidFill>
          </w14:textFill>
        </w:rPr>
        <w:t xml:space="preserve">规格型号、外观、数量</w:t>
      </w:r>
      <w:bookmarkEnd w:id="100"/>
      <w:r>
        <w:rPr>
          <w:rFonts w:hint="eastAsia" w:ascii="宋体" w:hAnsi="宋体" w:eastAsia="宋体" w:cs="宋体"/>
          <w:color w:val="000000" w:themeColor="text1"/>
          <w:sz w:val="24"/>
          <w:szCs w:val="24"/>
          <w:highlight w:val="none"/>
          <w14:textFill>
            <w14:solidFill>
              <w14:schemeClr w14:val="tx1"/>
            </w14:solidFill>
          </w14:textFill>
        </w:rPr>
        <w:t xml:space="preserve">进行检验，若设备规格型号错误、数量短缺、外包装破损或设备明显损坏、有污渍、水渍，甲方有权拒收并退还该等设备，乙方应当及时安排补货、退换货，补货、退换设备产生的运输费、装卸费、保管费等费用由乙方承担；</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6.2.1设备到达指定交货地之日起7个工作日内，甲方向乙方签署《硬件到货确认单》对规格型号、外观、数量进行确认。设备到达指定交货地之日起满7个工作日后，甲方未对规格型号、外观、数量提出异议的，视为甲方对设备的规格型号、数量、外观检验合格；</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6.3乙方负责货物交付至指定交货地点的运输费、装卸费、保管费，因甲方指定交货地点不明导致的货物错运，额外增加的运输费、装卸费、保管费等费用由甲方承担；</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货物交付至指定交货地点且经甲方书面通知之日起7个工作日内，乙方派工程师到甲方指定地点负责设备及配套软件的安装、培训工作，并与甲方通过《安装培训确认单》进行确认，该等《安装培训确认单》由甲方安排相关科室予以确认。</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第七条 项目验收</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7.1如按照本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1.1条的约定，相关设备系甲方向乙方采购，则验收条款如下：</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7.1.1 在乙方完成设备及配套软件的安装培训并与甲方通过《安装培训确认单》确认之日起7个工作日内，甲方应给乙方进行书面验收，并出具甲方加盖公章或业务章的《验收报告》给乙方；</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乙方已完成设备及配套软件的交付、安装、培训工作，且甲方未能在约定期间内向乙方提供《硬件到货确认单》、《安装培训确认单》、《验收报告》，若乙方已经收到设备采集的首份非测试的正式心电数据的，则视同于相关设备及配套软件的交付、安装、培训工作</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已</w:t>
      </w:r>
      <w:r>
        <w:rPr>
          <w:rFonts w:hint="eastAsia" w:ascii="宋体" w:hAnsi="宋体" w:eastAsia="宋体" w:cs="宋体"/>
          <w:color w:val="000000" w:themeColor="text1"/>
          <w:sz w:val="24"/>
          <w:szCs w:val="24"/>
          <w:highlight w:val="none"/>
          <w14:textFill>
            <w14:solidFill>
              <w14:schemeClr w14:val="tx1"/>
            </w14:solidFill>
          </w14:textFill>
        </w:rPr>
        <w:t xml:space="preserve">全部验收完成；</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7.2如按照本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1.1条的约定，相关设备系乙方提供甲方使用、设备所有权归乙方的，则乙方完成全部设备及配套软件的交付、安装、培训之日，即认为远程心电项目的交付、安装、培训工作已全部验收完成；</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7.3甲方应配合乙方完成对设备及配套软件的交付、安装、培训等工作，因甲方的原因导致乙方未能在本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要求期限内完成上述工作的，乙方不承担违约责任。</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第八条 质量保证</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8.1远程心电项目（含设备）的质量保证期从验收合格之日起到本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约定的合作期限届满之日止。在质量保证期内出现项目运行故障的，乙方在接到甲方故障通知后应及时委派专业人员提供相应的咨询、维修、更换等免费质保服务。但若相关故障系甲方及其工作人员人为原因造成的，乙方向甲方提供有偿的咨询、维修、更换服务，相关费用由双方参照市场价格执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第九条 远程心电服务账单</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9.1乙方应按要求定期向甲方提供《电子账单》或《服务明细表》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远程动态心电监测服务采取</w:t>
      </w:r>
      <w:r>
        <w:rPr>
          <w:rFonts w:hint="eastAsia" w:ascii="宋体" w:hAnsi="宋体" w:cs="宋体"/>
          <w:color w:val="000000" w:themeColor="text1"/>
          <w:sz w:val="24"/>
          <w:szCs w:val="24"/>
          <w:highlight w:val="none"/>
          <w:lang w:val="en-US" w:eastAsia="zh-CN"/>
          <w14:textFill>
            <w14:solidFill>
              <w14:schemeClr w14:val="tx1"/>
            </w14:solidFill>
          </w14:textFill>
        </w:rPr>
        <w:t xml:space="preserve">季度</w:t>
      </w:r>
      <w:r>
        <w:rPr>
          <w:rFonts w:hint="eastAsia" w:ascii="宋体" w:hAnsi="宋体" w:eastAsia="宋体" w:cs="宋体"/>
          <w:color w:val="000000" w:themeColor="text1"/>
          <w:sz w:val="24"/>
          <w:szCs w:val="24"/>
          <w:highlight w:val="none"/>
          <w14:textFill>
            <w14:solidFill>
              <w14:schemeClr w14:val="tx1"/>
            </w14:solidFill>
          </w14:textFill>
        </w:rPr>
        <w:t xml:space="preserve">结算方式，乙方可根据甲方要求，于每自然月结束后的次月3号前通过电子邮箱向甲方提供《服务明细表》供甲方查阅；</w:t>
      </w:r>
      <w:r>
        <w:rPr>
          <w:rFonts w:hint="eastAsia" w:ascii="宋体" w:hAnsi="宋体" w:cs="宋体"/>
          <w:color w:val="000000" w:themeColor="text1"/>
          <w:sz w:val="24"/>
          <w:szCs w:val="24"/>
          <w:highlight w:val="none"/>
          <w:lang w:val="en-US" w:eastAsia="zh-CN"/>
          <w14:textFill>
            <w14:solidFill>
              <w14:schemeClr w14:val="tx1"/>
            </w14:solidFill>
          </w14:textFill>
        </w:rPr>
        <w:t xml:space="preserve">经甲方审核确认明细表，以甲、乙双方确认后的明细表为结算依据。</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第十条 保密条款</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接收方对披露方所向其披露的不为公众所知悉的数据信息、技术秘密、患者信息和隐私、经营信息等非公开信息，负有保密义务，未经披露方书面同意，接收方不得对其必要接触该等信息的工作人员以外的任何第三方披露。接收方依照国家相关法律、法规、政策或有监管部门要求提供相关信息的情况除外。</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第十一条 不可抗力</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11.1由于自然灾害、战争、政府行为或甲乙双方无法预见、控制、避免和克服的其他事件发生，导致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任何一方不能或暂时不能全部或部分履行本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，该方不负责任。遭受不可抗力的一方应尽快将发生的事件通知另一方。</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第十二条 法律责任</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各方均应遵守本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及附件的规定，如果本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任何一方未能履行其在本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及附件项下义务的，均构成违约事件；</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12.2违约方应当负责赔偿守约方的相关损失，包括由此产生的诉讼仲裁费、保全费、律师费、差旅费、食宿费、误工费，但不得超过双方在签订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时可以预见到的实际损失；</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12.3若甲方迟延支付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到期款项，每逾期一日应当向乙方支付逾期付款额的万分之五作为违约金，若甲方累计超过3次经乙方书面催告后仍未向乙方支付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到期款项的，乙方有权单方解除本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12.4任何一方因泄露患者信息或隐私导致对方或患者遭受任何损失的，泄露一方均应独自承担全部赔偿责任，守约方先行承担赔偿责任的，有权向违约方追偿。</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12.5就乙方提供的报告预处理及结论预分析服务，若因乙方提供的咨询意见错误，造成患者损害的，由甲乙双方依法承担相应的法律责任；但甲方理解、认可，乙方提供的预分析意见仅为咨询意见，甲方需根据自己作出的诊断和相关诊疗规范实施相应的诊疗行为，因甲方提供的诊断治疗措施不当导致患者损害的，乙方不承担法律责任。</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第十三条 通知与送达条款</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13.1甲、乙双方因履行本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发出的《电子账单》/《服务明细表》、通知、文件、材料，均以本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所列明的地址、电话、短信、电子邮箱或微信送达。一方迁址或者变更电话、电子邮箱、微信的，应当书面通知对方；未通知的，按本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载明的联系方式送达的文件均为有效送达。以当面交付文件方式送达的，交付之时视为送达；以快递方式送达的，快递签收当日视为送达；以电子邮件、短信、微信方式送达的，电子邮件、短信、微信发出之日视为送达。</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甲方联系人：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，手机号：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，邮箱：</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，微信：</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乙方联系人：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，手机号：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，邮箱：</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微信：</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第十四条 争议解决</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14.1凡因本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引起的或与本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相关的任何争议，甲乙双方应首先友好协商。协商未果的，可向甲方所在地的人民法院提起诉讼解决。</w:t>
      </w:r>
      <w:r/>
    </w:p>
    <w:p>
      <w:pPr>
        <w:ind w:firstLine="480"/>
        <w:keepLines w:val="0"/>
        <w:keepNext w:val="0"/>
        <w:pageBreakBefore w:val="0"/>
        <w:spacing w:line="520" w:lineRule="atLeast"/>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第十五条 其他</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自甲乙双方法定代表人或授权代表签字并盖章之日起生效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正本一式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甲方四份，乙方</w:t>
      </w:r>
      <w:r>
        <w:rPr>
          <w:rFonts w:hint="eastAsia" w:ascii="宋体" w:hAnsi="宋体" w:eastAsia="宋体" w:cs="宋体"/>
          <w:color w:val="000000" w:themeColor="text1"/>
          <w:sz w:val="24"/>
          <w:szCs w:val="24"/>
          <w:highlight w:val="none"/>
          <w14:textFill>
            <w14:solidFill>
              <w14:schemeClr w14:val="tx1"/>
            </w14:solidFill>
          </w14:textFill>
        </w:rPr>
        <w:t xml:space="preserve">执二份，采购代理机构执一份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每份具有同等法律效力；</w:t>
      </w:r>
      <w:r/>
    </w:p>
    <w:p>
      <w:pPr>
        <w:ind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未尽事宜，可由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双方协商一致后，签署书面补充协议，补充协议与本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具有同等法律效力，但相关法律法规另有规定或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宋体"/>
          <w:color w:val="000000" w:themeColor="text1"/>
          <w:sz w:val="24"/>
          <w:szCs w:val="24"/>
          <w:highlight w:val="none"/>
          <w14:textFill>
            <w14:solidFill>
              <w14:schemeClr w14:val="tx1"/>
            </w14:solidFill>
          </w14:textFill>
        </w:rPr>
        <w:t xml:space="preserve">另有约定的除外。</w:t>
      </w:r>
      <w:r/>
    </w:p>
    <w:p>
      <w:pPr>
        <w:keepLines w:val="0"/>
        <w:keepNext w:val="0"/>
        <w:pageBreakBefore w:val="0"/>
        <w:spacing w:line="520" w:lineRule="atLeas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1176"/>
        <w:tblW w:w="9921" w:type="dxa"/>
        <w:tblInd w:w="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21"/>
      </w:tblGrid>
      <w:tr>
        <w:trPr>
          <w:trHeight w:val="567"/>
        </w:trPr>
        <w:tc>
          <w:tcPr>
            <w:tcW w:w="9921" w:type="dxa"/>
            <w:vAlign w:val="top"/>
            <w:textDirection w:val="lrTb"/>
            <w:noWrap w:val="false"/>
          </w:tcPr>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甲方：</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地址：</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法定代表人或授权代表：</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联系电话：</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签订日期：      年    月  日</w:t>
            </w:r>
            <w:r/>
          </w:p>
        </w:tc>
      </w:tr>
      <w:tr>
        <w:trPr>
          <w:trHeight w:val="567"/>
        </w:trPr>
        <w:tc>
          <w:tcPr>
            <w:tcW w:w="9921" w:type="dxa"/>
            <w:vAlign w:val="top"/>
            <w:textDirection w:val="lrTb"/>
            <w:noWrap w:val="false"/>
          </w:tcPr>
          <w:p>
            <w:pPr>
              <w:ind w:firstLine="0"/>
              <w:jc w:val="both"/>
              <w:spacing w:after="0" w:line="360" w:lineRule="auto"/>
              <w:shd w:val="clear" w:color="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r>
            <w:r/>
          </w:p>
          <w:p>
            <w:pPr>
              <w:ind w:firstLine="0"/>
              <w:jc w:val="both"/>
              <w:spacing w:after="0" w:line="360" w:lineRule="auto"/>
              <w:shd w:val="clear" w:color="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乙方：</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地址：</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法定代表人</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（或负责人）</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或授权代表：</w:t>
            </w:r>
            <w:r/>
          </w:p>
          <w:p>
            <w:pPr>
              <w:ind w:firstLine="0"/>
              <w:jc w:val="both"/>
              <w:spacing w:after="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联系电话：</w:t>
            </w:r>
            <w:r/>
          </w:p>
          <w:p>
            <w:pPr>
              <w:ind w:firstLine="0"/>
              <w:jc w:val="both"/>
              <w:spacing w:after="0" w:line="360" w:lineRule="auto"/>
              <w:shd w:val="clear" w:color="auto"/>
              <w:widowControl w:val="off"/>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签订日期：      年    月  日</w:t>
            </w:r>
            <w:r/>
          </w:p>
          <w:p>
            <w:pPr>
              <w:pStyle w:val="1181"/>
              <w:ind w:left="0" w:firstLine="0"/>
              <w:spacing w:after="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r>
    </w:tbl>
    <w:p>
      <w:pPr>
        <w:jc w:val="both"/>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0"/>
      </w:pPr>
      <w:r/>
      <w:bookmarkStart w:id="101" w:name="_Hlk126588755"/>
      <w:r/>
      <w:r/>
    </w:p>
    <w:tbl>
      <w:tblPr>
        <w:tblStyle w:val="1148"/>
        <w:tblW w:w="9858" w:type="dxa"/>
        <w:jc w:val="center"/>
        <w:tblLayout w:type="fixed"/>
        <w:tblCellMar>
          <w:left w:w="15" w:type="dxa"/>
          <w:top w:w="15" w:type="dxa"/>
          <w:right w:w="15" w:type="dxa"/>
          <w:bottom w:w="15" w:type="dxa"/>
        </w:tblCellMar>
        <w:tblLook w:val="04A0" w:firstRow="1" w:lastRow="0" w:firstColumn="1" w:lastColumn="0" w:noHBand="0" w:noVBand="1"/>
      </w:tblPr>
      <w:tblGrid>
        <w:gridCol w:w="9858"/>
      </w:tblGrid>
      <w:tr>
        <w:trPr>
          <w:jc w:val="center"/>
          <w:trHeight w:val="567"/>
        </w:trPr>
        <w:tc>
          <w:tcPr>
            <w:tcW w:w="9858" w:type="dxa"/>
            <w:vAlign w:val="center"/>
            <w:textDirection w:val="lrTb"/>
            <w:noWrap w:val="false"/>
          </w:tcPr>
          <w:p>
            <w:pPr>
              <w:jc w:val="center"/>
              <w:keepLines w:val="0"/>
              <w:keepNext w:val="0"/>
              <w:pageBreakBefore w:val="0"/>
              <w:spacing w:line="520" w:lineRule="atLeast"/>
              <w:shd w:val="clear" w:color="auto"/>
              <w:widowControl w:val="off"/>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附件</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30"/>
                <w:szCs w:val="30"/>
                <w:highlight w:val="none"/>
                <w14:textFill>
                  <w14:solidFill>
                    <w14:schemeClr w14:val="tx1"/>
                  </w14:solidFill>
                </w14:textFill>
              </w:rPr>
              <w:t xml:space="preserve">：动态/常规心电检查与监测知情同意书</w:t>
            </w:r>
            <w:r/>
          </w:p>
          <w:tbl>
            <w:tblPr>
              <w:tblStyle w:val="1148"/>
              <w:tblW w:w="9842" w:type="dxa"/>
              <w:jc w:val="center"/>
              <w:tblLayout w:type="fixed"/>
              <w:tblCellMar>
                <w:left w:w="15" w:type="dxa"/>
                <w:top w:w="15" w:type="dxa"/>
                <w:right w:w="15" w:type="dxa"/>
                <w:bottom w:w="15" w:type="dxa"/>
              </w:tblCellMar>
              <w:tblLook w:val="04A0" w:firstRow="1" w:lastRow="0" w:firstColumn="1" w:lastColumn="0" w:noHBand="0" w:noVBand="1"/>
            </w:tblPr>
            <w:tblGrid>
              <w:gridCol w:w="9842"/>
            </w:tblGrid>
            <w:tr>
              <w:trPr>
                <w:jc w:val="center"/>
                <w:trHeight w:val="90"/>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b/>
                      <w:color w:val="000000" w:themeColor="text1"/>
                      <w:sz w:val="24"/>
                      <w:szCs w:val="24"/>
                      <w:highlight w:val="none"/>
                      <w:lang w:bidi="ar"/>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 xml:space="preserve">本次动态/常规心电检查与监测期间，您需要注意如下事项，请您仔细阅读：</w:t>
                  </w:r>
                  <w:r/>
                </w:p>
              </w:tc>
            </w:tr>
            <w:tr>
              <w:trPr>
                <w:jc w:val="center"/>
                <w:trHeight w:val="780"/>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1、做此项检查，极少数人的皮肤可能对电极片会产生过敏，局部发红、瘙痒甚至出现过敏性皮炎等现象，请您及时到皮肤科就诊处理；</w:t>
                  </w:r>
                  <w:r/>
                </w:p>
              </w:tc>
            </w:tr>
            <w:tr>
              <w:trPr>
                <w:jc w:val="center"/>
                <w:trHeight w:val="90"/>
              </w:trPr>
              <w:tc>
                <w:tcPr>
                  <w:tcW w:w="9842" w:type="dxa"/>
                  <w:vAlign w:val="center"/>
                  <w:textDirection w:val="lrTb"/>
                  <w:noWrap w:val="false"/>
                </w:tcPr>
                <w:p>
                  <w:pPr>
                    <w:jc w:val="left"/>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2、在做动态心电检查前，请您务必认真听取本医院介绍动态设备的使用方法和注意事项，当您发现动态设备不能正常工作时，请您立即</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电话</w:t>
                  </w:r>
                  <w:r>
                    <w:rPr>
                      <w:rFonts w:hint="eastAsia" w:ascii="宋体" w:hAnsi="宋体" w:eastAsia="宋体" w:cs="宋体"/>
                      <w:color w:val="000000" w:themeColor="text1"/>
                      <w:sz w:val="24"/>
                      <w:szCs w:val="24"/>
                      <w:highlight w:val="none"/>
                      <w:lang w:bidi="ar"/>
                      <w14:textFill>
                        <w14:solidFill>
                          <w14:schemeClr w14:val="tx1"/>
                        </w14:solidFill>
                      </w14:textFill>
                    </w:rPr>
                    <w:t xml:space="preserve">联系处理，拨打</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电话</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t xml:space="preserve">；</w:t>
                  </w:r>
                  <w:r/>
                </w:p>
              </w:tc>
            </w:tr>
            <w:tr>
              <w:trPr>
                <w:jc w:val="center"/>
                <w:trHeight w:val="2597"/>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在佩戴动态设备期间，心电监测中心会对您绝大多数危急的异常心电变化，通过电话向您的紧急联系人做出警示，请您确保紧急联系人在此期间手机联系通畅，并能始终陪护您、向您及时传递警示信息。心电危急事件发生后，心电监测中心【3】次拨打紧急联系人手机仍无法取得有效联系的，</w:t>
                  </w:r>
                  <w:r>
                    <w:rPr>
                      <w:rFonts w:hint="eastAsia" w:ascii="宋体" w:hAnsi="宋体" w:eastAsia="宋体" w:cs="宋体"/>
                      <w:b/>
                      <w:bCs/>
                      <w:color w:val="000000" w:themeColor="text1"/>
                      <w:sz w:val="24"/>
                      <w:szCs w:val="24"/>
                      <w:highlight w:val="none"/>
                      <w:u w:val="single"/>
                      <w:lang w:val="en-US" w:eastAsia="zh-CN" w:bidi="ar"/>
                      <w14:textFill>
                        <w14:solidFill>
                          <w14:schemeClr w14:val="tx1"/>
                        </w14:solidFill>
                      </w14:textFill>
                    </w:rPr>
                    <w:t xml:space="preserve">会</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及时发送预警短信</w:t>
                  </w:r>
                  <w:r>
                    <w:rPr>
                      <w:rFonts w:hint="eastAsia" w:ascii="宋体" w:hAnsi="宋体" w:eastAsia="宋体" w:cs="宋体"/>
                      <w:b/>
                      <w:bCs/>
                      <w:color w:val="000000" w:themeColor="text1"/>
                      <w:sz w:val="24"/>
                      <w:szCs w:val="24"/>
                      <w:highlight w:val="none"/>
                      <w:u w:val="singl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lang w:val="en-US" w:eastAsia="zh-CN" w:bidi="ar"/>
                      <w14:textFill>
                        <w14:solidFill>
                          <w14:schemeClr w14:val="tx1"/>
                        </w14:solidFill>
                      </w14:textFill>
                    </w:rPr>
                    <w:t xml:space="preserve">电话及短信均告知完毕</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视为对该事件的警示已完成，医院与心电监测中心不承担与此相关的不利后果；</w:t>
                  </w:r>
                  <w:r/>
                </w:p>
              </w:tc>
            </w:tr>
            <w:tr>
              <w:trPr>
                <w:jc w:val="center"/>
                <w:trHeight w:val="555"/>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心电监测中心完成某一危急心电事件的警示后，不再就同一事件类型再行警示，请您在接到警示后及时关注自身健康状况，必要时请及时就医；</w:t>
                  </w:r>
                  <w:r/>
                </w:p>
              </w:tc>
            </w:tr>
            <w:tr>
              <w:trPr>
                <w:jc w:val="center"/>
                <w:trHeight w:val="555"/>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5、在佩戴动态设备期间，</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如您感觉心脏不适，即使心电监测中心未能警示</w:t>
                  </w:r>
                  <w:r>
                    <w:rPr>
                      <w:rFonts w:hint="eastAsia" w:ascii="宋体" w:hAnsi="宋体" w:eastAsia="宋体" w:cs="宋体"/>
                      <w:color w:val="000000" w:themeColor="text1"/>
                      <w:sz w:val="24"/>
                      <w:szCs w:val="24"/>
                      <w:highlight w:val="none"/>
                      <w:lang w:bidi="ar"/>
                      <w14:textFill>
                        <w14:solidFill>
                          <w14:schemeClr w14:val="tx1"/>
                        </w14:solidFill>
                      </w14:textFill>
                    </w:rPr>
                    <w:t xml:space="preserve">，您仍应亲自或在他人协助下，</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立即与120急救中心联系处理或就近前往具备救治能力的医院接受治疗</w:t>
                  </w:r>
                  <w:r>
                    <w:rPr>
                      <w:rFonts w:hint="eastAsia" w:ascii="宋体" w:hAnsi="宋体" w:eastAsia="宋体" w:cs="宋体"/>
                      <w:color w:val="000000" w:themeColor="text1"/>
                      <w:sz w:val="24"/>
                      <w:szCs w:val="24"/>
                      <w:highlight w:val="none"/>
                      <w:lang w:bidi="ar"/>
                      <w14:textFill>
                        <w14:solidFill>
                          <w14:schemeClr w14:val="tx1"/>
                        </w14:solidFill>
                      </w14:textFill>
                    </w:rPr>
                    <w:t xml:space="preserve">，以避免病情延误；</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心电检查与监测不具有任何抢救、治疗功能，亦不对抢救、治疗的效果做任何保证；</w:t>
                  </w:r>
                  <w:r/>
                </w:p>
              </w:tc>
            </w:tr>
            <w:tr>
              <w:trPr>
                <w:jc w:val="center"/>
                <w:trHeight w:val="525"/>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6、佩戴动态设备期间，请您</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避免剧烈运动、始终确保设备正常运行</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始终确保设备屏幕通信信号满格</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始终确保电极片与皮肤处于贴紧状态</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，否则心电监测中心可能无法及时获取您完整、有效的心电数据并做出警示，</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在此期间若出现不利后果，医院与心电监测中心不予承担</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tc>
            </w:tr>
            <w:tr>
              <w:trPr>
                <w:jc w:val="center"/>
                <w:trHeight w:val="540"/>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本次心电检查与监测依赖于第三方服务商提供的远程心电服务、通信网络服务、云服务等第三方信息技术及专业服务，签署本知情同意书，视为您知悉并同意将本次心电检查与监测的相关必要数据传输予第三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用于本次心电远程监测</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tc>
            </w:tr>
            <w:tr>
              <w:trPr>
                <w:jc w:val="center"/>
                <w:trHeight w:val="510"/>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8、本次心电检查与监测，依赖于远程心电服务、通信网络服务、云服务等第三方信息技术服务。</w:t>
                  </w:r>
                  <w:r>
                    <w:rPr>
                      <w:rFonts w:hint="eastAsia" w:ascii="宋体" w:hAnsi="宋体" w:eastAsia="宋体" w:cs="宋体"/>
                      <w:b/>
                      <w:bCs/>
                      <w:color w:val="000000" w:themeColor="text1"/>
                      <w:sz w:val="24"/>
                      <w:szCs w:val="24"/>
                      <w:highlight w:val="none"/>
                      <w:u w:val="single"/>
                      <w:lang w:bidi="ar"/>
                      <w14:textFill>
                        <w14:solidFill>
                          <w14:schemeClr w14:val="tx1"/>
                        </w14:solidFill>
                      </w14:textFill>
                    </w:rPr>
                    <w:t xml:space="preserve">在监测过程中，若您所处区域通信网络信号不良、通信网络信号故障、通信网络资源限制、云服务故障等原因，致使心电监测中心未能及时向您做出警示的，医院和心电监测中心不承担与此相关的不利后果：</w:t>
                  </w:r>
                  <w:r/>
                </w:p>
              </w:tc>
            </w:tr>
            <w:tr>
              <w:trPr>
                <w:jc w:val="center"/>
                <w:trHeight w:val="495"/>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b/>
                      <w:bCs/>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心电监测中心因各种因素不能为您提供心电监测服务时，出于对您信赖预期的保障，有权通知您本次心电监测服务终止，通知完成后，您不应基于信赖本次监测服务的开展而做出任何决定或行为，医院和心电监测中心不承担相应的医疗责任。</w:t>
                  </w:r>
                  <w:r/>
                </w:p>
              </w:tc>
            </w:tr>
            <w:tr>
              <w:trPr>
                <w:jc w:val="center"/>
                <w:trHeight w:val="540"/>
              </w:trPr>
              <w:tc>
                <w:tcPr>
                  <w:tcW w:w="9842" w:type="dxa"/>
                  <w:vAlign w:val="center"/>
                  <w:textDirection w:val="lrTb"/>
                  <w:noWrap w:val="false"/>
                </w:tcPr>
                <w:p>
                  <w:pPr>
                    <w:jc w:val="left"/>
                    <w:keepLines w:val="0"/>
                    <w:keepNext w:val="0"/>
                    <w:pageBreakBefore w:val="0"/>
                    <w:spacing w:line="520" w:lineRule="exact"/>
                    <w:shd w:val="clear" w:color="auto"/>
                    <w:widowControl/>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10、</w:t>
                  </w:r>
                  <w:r>
                    <w:rPr>
                      <w:rFonts w:hint="eastAsia" w:ascii="宋体" w:hAnsi="宋体" w:eastAsia="宋体" w:cs="宋体"/>
                      <w:b/>
                      <w:color w:val="000000" w:themeColor="text1"/>
                      <w:sz w:val="24"/>
                      <w:szCs w:val="24"/>
                      <w:highlight w:val="none"/>
                      <w:lang w:bidi="ar"/>
                      <w14:textFill>
                        <w14:solidFill>
                          <w14:schemeClr w14:val="tx1"/>
                        </w14:solidFill>
                      </w14:textFill>
                    </w:rPr>
                    <w:t xml:space="preserve">本次动态/常规心电检查与监测</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结束后，请您按指定时间按时归回设备。</w:t>
                  </w:r>
                  <w:r/>
                </w:p>
              </w:tc>
            </w:tr>
            <w:tr>
              <w:trPr>
                <w:jc w:val="center"/>
                <w:trHeight w:val="360"/>
              </w:trPr>
              <w:tc>
                <w:tcPr>
                  <w:tcW w:w="9842"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 xml:space="preserve">患者知情权：</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医院已告我本次检查与监测的目的、方式、注意事项、风险等关于此次检查的相关问题，且我已充分理解。我同意进行动态心电图检查与监测，并</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同意将心电检查与监测的相关必要数据传输予第三方用于本次心电远程监测。</w:t>
                  </w:r>
                  <w:r/>
                </w:p>
              </w:tc>
            </w:tr>
            <w:tr>
              <w:trPr>
                <w:jc w:val="center"/>
                <w:trHeight w:val="312"/>
              </w:trPr>
              <w:tc>
                <w:tcPr>
                  <w:tcW w:w="9842" w:type="dxa"/>
                  <w:vAlign w:val="center"/>
                  <w:vMerge w:val="restart"/>
                  <w:textDirection w:val="lrTb"/>
                  <w:noWrap w:val="false"/>
                </w:tcPr>
                <w:p>
                  <w:pPr>
                    <w:jc w:val="left"/>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患者签名</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；患者联系方式</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p>
              </w:tc>
            </w:tr>
            <w:tr>
              <w:trPr>
                <w:jc w:val="center"/>
                <w:trHeight w:val="285"/>
              </w:trPr>
              <w:tc>
                <w:tcPr>
                  <w:tcW w:w="9842" w:type="dxa"/>
                  <w:vAlign w:val="center"/>
                  <w:textDirection w:val="lrTb"/>
                  <w:noWrap w:val="false"/>
                </w:tcPr>
                <w:p>
                  <w:pPr>
                    <w:jc w:val="left"/>
                    <w:keepLines w:val="0"/>
                    <w:keepNext w:val="0"/>
                    <w:pageBreakBefore w:val="0"/>
                    <w:spacing w:line="520" w:lineRule="exact"/>
                    <w:shd w:val="clear" w:color="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 xml:space="preserve">如患者不宜或不能签署知情同意书，请其授权的亲属或关系人在此签名</w:t>
                  </w:r>
                  <w:r/>
                </w:p>
              </w:tc>
            </w:tr>
            <w:tr>
              <w:trPr>
                <w:jc w:val="center"/>
                <w:trHeight w:val="312"/>
              </w:trPr>
              <w:tc>
                <w:tcPr>
                  <w:tcW w:w="9842" w:type="dxa"/>
                  <w:vAlign w:val="center"/>
                  <w:textDirection w:val="lrTb"/>
                  <w:noWrap w:val="false"/>
                </w:tcPr>
                <w:p>
                  <w:pPr>
                    <w:jc w:val="left"/>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授权人签名</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；与患者关系</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p>
              </w:tc>
            </w:tr>
          </w:tbl>
          <w:p>
            <w:pP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End w:id="101"/>
            <w:r/>
            <w:r/>
          </w:p>
        </w:tc>
      </w:tr>
    </w:tbl>
    <w:p>
      <w:pPr>
        <w:jc w:val="both"/>
        <w:keepLines w:val="0"/>
        <w:keepNext w:val="0"/>
        <w:pageBreakBefore w:val="0"/>
        <w:spacing w:before="181" w:after="181" w:line="520" w:lineRule="exact"/>
        <w:shd w:val="clear" w:color="auto"/>
        <w:widowControl/>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0"/>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val="0"/>
        <w:pageBreakBefore w:val="0"/>
        <w:spacing w:line="520" w:lineRule="atLeast"/>
        <w:shd w:val="clear" w:color="auto"/>
        <w:widowControl w:val="off"/>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附件</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30"/>
          <w:szCs w:val="30"/>
          <w:highlight w:val="none"/>
          <w14:textFill>
            <w14:solidFill>
              <w14:schemeClr w14:val="tx1"/>
            </w14:solidFill>
          </w14:textFill>
        </w:rPr>
        <w:t xml:space="preserve">：远程心电监测警示范围</w:t>
      </w:r>
      <w:r/>
    </w:p>
    <w:tbl>
      <w:tblPr>
        <w:tblStyle w:val="1148"/>
        <w:tblW w:w="9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14"/>
        <w:gridCol w:w="1320"/>
        <w:gridCol w:w="2595"/>
        <w:gridCol w:w="5033"/>
      </w:tblGrid>
      <w:tr>
        <w:trPr>
          <w:jc w:val="center"/>
          <w:trHeight w:val="567"/>
        </w:trPr>
        <w:tc>
          <w:tcPr>
            <w:gridSpan w:val="3"/>
            <w:shd w:val="clear" w:color="auto" w:fill="auto"/>
            <w:tcW w:w="4729" w:type="dxa"/>
            <w:vAlign w:val="center"/>
            <w:textDirection w:val="lrTb"/>
            <w:noWrap w:val="false"/>
          </w:tcPr>
          <w:p>
            <w:pPr>
              <w:jc w:val="center"/>
              <w:spacing w:line="24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事件名称</w:t>
            </w:r>
            <w:r/>
          </w:p>
        </w:tc>
        <w:tc>
          <w:tcPr>
            <w:shd w:val="clear" w:color="auto" w:fill="auto"/>
            <w:tcW w:w="5033" w:type="dxa"/>
            <w:vAlign w:val="center"/>
            <w:textDirection w:val="lrTb"/>
            <w:noWrap w:val="false"/>
          </w:tcPr>
          <w:p>
            <w:pPr>
              <w:jc w:val="center"/>
              <w:spacing w:line="24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567"/>
        </w:trPr>
        <w:tc>
          <w:tcPr>
            <w:shd w:val="clear" w:color="auto" w:fill="auto"/>
            <w:tcW w:w="814" w:type="dxa"/>
            <w:vAlign w:val="center"/>
            <w:vMerge w:val="restart"/>
            <w:textDirection w:val="lrTb"/>
            <w:noWrap w:val="false"/>
          </w:tcPr>
          <w:p>
            <w:pPr>
              <w:jc w:val="center"/>
              <w:spacing w:line="24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危急事件</w:t>
            </w:r>
            <w:r/>
          </w:p>
        </w:tc>
        <w:tc>
          <w:tcPr>
            <w:shd w:val="clear" w:color="auto" w:fill="auto"/>
            <w:tcW w:w="1320" w:type="dxa"/>
            <w:vAlign w:val="center"/>
            <w:vMerge w:val="restart"/>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急性心肌梗塞</w:t>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急性前壁心肌梗塞</w:t>
            </w:r>
            <w:r/>
          </w:p>
        </w:tc>
        <w:tc>
          <w:tcPr>
            <w:shd w:val="clear" w:color="auto" w:fill="auto"/>
            <w:tcW w:w="5033" w:type="dxa"/>
            <w:vAlign w:val="center"/>
            <w:vMerge w:val="restart"/>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满足以下4种特征任1种：</w:t>
            </w:r>
            <w:r/>
          </w:p>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（1）ST段斜直抬高，T波高耸；</w:t>
            </w:r>
            <w:r/>
          </w:p>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（2）ST段呈弓背向上型抬高；</w:t>
            </w:r>
            <w:r/>
          </w:p>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（3）ST段抬高且与QRS波融合成墓碑状；</w:t>
            </w:r>
            <w:r/>
          </w:p>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（4）符合De Winter综合征心电图改变</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急性前间壁心肌梗塞</w:t>
            </w:r>
            <w:r/>
          </w:p>
        </w:tc>
        <w:tc>
          <w:tcPr>
            <w:shd w:val="clear" w:color="auto" w:fill="auto"/>
            <w:tcW w:w="5033" w:type="dxa"/>
            <w:vAlign w:val="center"/>
            <w:vMerge w:val="continue"/>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急性广泛前壁心肌梗塞</w:t>
            </w:r>
            <w:r/>
          </w:p>
        </w:tc>
        <w:tc>
          <w:tcPr>
            <w:shd w:val="clear" w:color="auto" w:fill="auto"/>
            <w:tcW w:w="5033" w:type="dxa"/>
            <w:vAlign w:val="center"/>
            <w:vMerge w:val="continue"/>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急性高侧壁心肌梗塞</w:t>
            </w:r>
            <w:r/>
          </w:p>
        </w:tc>
        <w:tc>
          <w:tcPr>
            <w:shd w:val="clear" w:color="auto" w:fill="auto"/>
            <w:tcW w:w="5033" w:type="dxa"/>
            <w:vAlign w:val="center"/>
            <w:vMerge w:val="continue"/>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急性侧壁心肌梗塞</w:t>
            </w:r>
            <w:r/>
          </w:p>
        </w:tc>
        <w:tc>
          <w:tcPr>
            <w:shd w:val="clear" w:color="auto" w:fill="auto"/>
            <w:tcW w:w="5033" w:type="dxa"/>
            <w:vAlign w:val="center"/>
            <w:vMerge w:val="continue"/>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急性下壁心肌梗塞</w:t>
            </w:r>
            <w:r/>
          </w:p>
        </w:tc>
        <w:tc>
          <w:tcPr>
            <w:shd w:val="clear" w:color="auto" w:fill="auto"/>
            <w:tcW w:w="5033" w:type="dxa"/>
            <w:vAlign w:val="center"/>
            <w:vMerge w:val="continue"/>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restart"/>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严重快速性心律失常</w:t>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心室颤动/心室扑动</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室性心动过速</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（1）室性心动过速心室率≥150bpm，连续室性心搏数≥3个；</w:t>
            </w:r>
            <w:r/>
          </w:p>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（2）尖端扭转型室性心动过速，多形性室性心动过速，双向性室性心动过速。</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室上性心动过速</w:t>
            </w:r>
            <w:r/>
          </w:p>
        </w:tc>
        <w:tc>
          <w:tcPr>
            <w:shd w:val="clear" w:color="auto" w:fill="auto"/>
            <w:tcW w:w="5033" w:type="dxa"/>
            <w:vAlign w:val="center"/>
            <w:textDirection w:val="lrTb"/>
            <w:noWrap w:val="false"/>
          </w:tcPr>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（1）各种类型室上性心动过速（含宽QRS心动过速）心室率≥180bpm；</w:t>
            </w:r>
            <w:r/>
          </w:p>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（2）如为非成年人，室上性心动过速心室率≥该年龄段正常心率上限+20次；</w:t>
            </w:r>
            <w:r/>
          </w:p>
          <w:p>
            <w:pPr>
              <w:ind w:firstLine="240"/>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注：含宽QRS心动过速指其它非室性心动过速。</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心房颤动伴心室预激</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心房颤动伴心室预激且最短RR间期≤250ms。</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restart"/>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严重缓慢性心律失常</w:t>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严重心动过缓</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平均心室率≤35bpm（按连续30秒周期计算）。</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长RR间期</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RR间期≥3.0s。</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高度及三度房室传导阻滞</w:t>
            </w:r>
            <w:r/>
          </w:p>
        </w:tc>
        <w:tc>
          <w:tcPr>
            <w:shd w:val="clear" w:color="auto" w:fill="auto"/>
            <w:tcW w:w="5033" w:type="dxa"/>
            <w:vAlign w:val="center"/>
            <w:textDirection w:val="lrTb"/>
            <w:noWrap w:val="false"/>
          </w:tcPr>
          <w:p>
            <w:pPr>
              <w:spacing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（1）窦性心律时，房室传导比例＞2：1；</w:t>
            </w:r>
            <w:r/>
          </w:p>
          <w:p>
            <w:pPr>
              <w:spacing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（2）房室无传导关系，心房率＞心室率，平均心室率&lt;40bpm；</w:t>
            </w:r>
            <w:r/>
          </w:p>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（3）心室为交界性与室性自主心律。</w:t>
            </w:r>
            <w:r/>
          </w:p>
        </w:tc>
      </w:tr>
      <w:tr>
        <w:trPr>
          <w:jc w:val="center"/>
          <w:trHeight w:val="567"/>
        </w:trPr>
        <w:tc>
          <w:tcPr>
            <w:shd w:val="clear" w:color="auto" w:fill="auto"/>
            <w:tcW w:w="814" w:type="dxa"/>
            <w:vAlign w:val="center"/>
            <w:vMerge w:val="restart"/>
            <w:textDirection w:val="lrTb"/>
            <w:noWrap w:val="false"/>
          </w:tcPr>
          <w:p>
            <w:pPr>
              <w:jc w:val="center"/>
              <w:spacing w:line="24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非危急事件</w:t>
            </w:r>
            <w:r/>
          </w:p>
        </w:tc>
        <w:tc>
          <w:tcPr>
            <w:shd w:val="clear" w:color="auto" w:fill="auto"/>
            <w:tcW w:w="1320"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左右手接反</w:t>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左右手接反</w:t>
            </w:r>
            <w:r/>
          </w:p>
        </w:tc>
        <w:tc>
          <w:tcPr>
            <w:shd w:val="clear" w:color="auto" w:fill="auto"/>
            <w:tcW w:w="5033" w:type="dxa"/>
            <w:vAlign w:val="center"/>
            <w:textDirection w:val="lrTb"/>
            <w:noWrap w:val="false"/>
          </w:tcPr>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（1）90°＜QRS电轴≤270；°</w:t>
            </w:r>
            <w:r/>
          </w:p>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（2）90°＜P电轴≤270°；</w:t>
            </w:r>
            <w:r/>
          </w:p>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（3）PR间期≥110ms；</w:t>
            </w:r>
            <w:r/>
          </w:p>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（4）I导联存在Q波或I导联R波振幅＜0.15mV；</w:t>
            </w:r>
            <w:r/>
          </w:p>
          <w:p>
            <w:pPr>
              <w:jc w:val="left"/>
              <w:spacing w:line="240" w:lineRule="auto"/>
              <w:shd w:val="clear" w:color="auto"/>
              <w:widowControl/>
              <w:tabs>
                <w:tab w:val="left" w:pos="25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（5）RV6≥0.5mV或RV6＞SV6 或V6中P波振幅≥0.02mV。</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电极脱落</w:t>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电极脱落</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干扰过大</w:t>
            </w:r>
            <w:r/>
          </w:p>
        </w:tc>
        <w:tc>
          <w:tcPr>
            <w:shd w:val="clear" w:color="auto" w:fill="auto"/>
            <w:tcW w:w="2595"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干扰过大</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平台系统长时间未接收到心电数据</w:t>
            </w:r>
            <w:r/>
          </w:p>
        </w:tc>
        <w:tc>
          <w:tcPr>
            <w:shd w:val="clear" w:color="auto" w:fill="auto"/>
            <w:tcW w:w="2595" w:type="dxa"/>
            <w:vAlign w:val="center"/>
            <w:textDirection w:val="lrTb"/>
            <w:noWrap w:val="false"/>
          </w:tcPr>
          <w:p>
            <w:pP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平台系统长时间未接收到心电数据</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通信网络信号不良、通信网络信号故障、通信网络资源限制、云服务故障、设备电量过低等原因，致使系统长时间未接收到心电数据</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67"/>
        </w:trPr>
        <w:tc>
          <w:tcPr>
            <w:shd w:val="clear" w:color="auto" w:fill="auto"/>
            <w:tcW w:w="814" w:type="dxa"/>
            <w:vAlign w:val="center"/>
            <w:vMerge w:val="continue"/>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320" w:type="dxa"/>
            <w:vAlign w:val="center"/>
            <w:textDirection w:val="lrTb"/>
            <w:noWrap w:val="false"/>
          </w:tcPr>
          <w:p>
            <w:pPr>
              <w:jc w:val="cente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手动触发事件</w:t>
            </w:r>
            <w:r/>
          </w:p>
        </w:tc>
        <w:tc>
          <w:tcPr>
            <w:shd w:val="clear" w:color="auto" w:fill="auto"/>
            <w:tcW w:w="2595" w:type="dxa"/>
            <w:vAlign w:val="center"/>
            <w:textDirection w:val="lrTb"/>
            <w:noWrap w:val="false"/>
          </w:tcPr>
          <w:p>
            <w:pPr>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患者手动按键触发用户事件</w:t>
            </w:r>
            <w:r/>
          </w:p>
        </w:tc>
        <w:tc>
          <w:tcPr>
            <w:shd w:val="clear" w:color="auto" w:fill="auto"/>
            <w:tcW w:w="5033" w:type="dxa"/>
            <w:vAlign w:val="center"/>
            <w:textDirection w:val="lrTb"/>
            <w:noWrap w:val="false"/>
          </w:tcPr>
          <w:p>
            <w:pPr>
              <w:jc w:val="left"/>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left="0" w:firstLine="0"/>
        <w:jc w:val="both"/>
        <w:spacing w:line="360" w:lineRule="auto"/>
        <w:shd w:val="clear" w:color="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firstLine="0"/>
        <w:shd w:val="clear" w:color="auto"/>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highlight w:val="none"/>
          <w14:textFill>
            <w14:solidFill>
              <w14:schemeClr w14:val="tx1"/>
            </w14:solidFill>
          </w14:textFill>
        </w:rPr>
      </w:r>
      <w:r/>
    </w:p>
    <w:p>
      <w:pPr>
        <w:pStyle w:val="1347"/>
        <w:spacing w:before="313" w:after="313"/>
        <w:rPr>
          <w:rFonts w:hint="eastAsia" w:ascii="宋体" w:hAnsi="宋体" w:eastAsia="宋体" w:cs="宋体"/>
          <w:color w:val="000000" w:themeColor="text1"/>
          <w:spacing w:val="0"/>
          <w:highlight w:val="none"/>
          <w14:textFill>
            <w14:solidFill>
              <w14:schemeClr w14:val="tx1"/>
            </w14:solidFill>
          </w14:textFill>
        </w:rPr>
      </w:pPr>
      <w:r/>
      <w:bookmarkStart w:id="102" w:name="_Toc2269"/>
      <w:r>
        <w:rPr>
          <w:rFonts w:hint="eastAsia" w:ascii="宋体" w:hAnsi="宋体" w:eastAsia="宋体" w:cs="宋体"/>
          <w:color w:val="000000" w:themeColor="text1"/>
          <w:spacing w:val="0"/>
          <w:highlight w:val="none"/>
          <w14:textFill>
            <w14:solidFill>
              <w14:schemeClr w14:val="tx1"/>
            </w14:solidFill>
          </w14:textFill>
        </w:rPr>
        <w:t xml:space="preserve">第</w:t>
      </w:r>
      <w:bookmarkEnd w:id="58"/>
      <w:r>
        <w:rPr>
          <w:rFonts w:hint="eastAsia" w:ascii="宋体" w:hAnsi="宋体" w:eastAsia="宋体" w:cs="宋体"/>
          <w:color w:val="000000" w:themeColor="text1"/>
          <w:spacing w:val="0"/>
          <w:highlight w:val="none"/>
          <w14:textFill>
            <w14:solidFill>
              <w14:schemeClr w14:val="tx1"/>
            </w14:solidFill>
          </w14:textFill>
        </w:rPr>
        <w:t xml:space="preserve">四章 项目需求</w:t>
      </w:r>
      <w:bookmarkEnd w:id="102"/>
      <w:r/>
      <w:r/>
    </w:p>
    <w:p>
      <w:pPr>
        <w:keepLines w:val="0"/>
        <w:keepNext w:val="0"/>
        <w:pageBreakBefore w:val="0"/>
        <w:spacing w:line="520" w:lineRule="exact"/>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103" w:name="_Toc6228"/>
      <w:r>
        <w:rPr>
          <w:rFonts w:hint="eastAsia" w:ascii="宋体" w:hAnsi="宋体" w:eastAsia="宋体" w:cs="宋体"/>
          <w:b/>
          <w:color w:val="000000" w:themeColor="text1"/>
          <w:spacing w:val="0"/>
          <w:sz w:val="28"/>
          <w:szCs w:val="28"/>
          <w:highlight w:val="none"/>
          <w14:textFill>
            <w14:solidFill>
              <w14:schemeClr w14:val="tx1"/>
            </w14:solidFill>
          </w14:textFill>
        </w:rPr>
        <w:t xml:space="preserve">一、清单</w:t>
      </w:r>
      <w:bookmarkEnd w:id="103"/>
      <w:r/>
      <w:r/>
    </w:p>
    <w:p>
      <w:pPr>
        <w:pStyle w:val="1369"/>
        <w:ind w:firstLine="482"/>
        <w:keepLines w:val="0"/>
        <w:keepNext w:val="0"/>
        <w:pageBreakBefore w:val="0"/>
        <w:spacing w:line="520" w:lineRule="exact"/>
        <w:shd w:val="clear" w:color="auto" w:fill="auto"/>
        <w:widowControl/>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一</w:t>
      </w: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清单</w:t>
      </w:r>
      <w:r/>
    </w:p>
    <w:tbl>
      <w:tblPr>
        <w:tblStyle w:val="1148"/>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79"/>
        <w:gridCol w:w="2651"/>
        <w:gridCol w:w="712"/>
        <w:gridCol w:w="575"/>
        <w:gridCol w:w="538"/>
        <w:gridCol w:w="2712"/>
        <w:gridCol w:w="888"/>
        <w:gridCol w:w="1227"/>
      </w:tblGrid>
      <w:tr>
        <w:trPr>
          <w:jc w:val="center"/>
          <w:trHeight w:val="567"/>
        </w:trPr>
        <w:tc>
          <w:tcPr>
            <w:shd w:val="clear" w:color="auto" w:fill="b8cce4" w:themeFill="accent1" w:themeFillTint="66"/>
            <w:tcMar>
              <w:top w:w="100" w:type="dxa"/>
              <w:bottom w:w="100" w:type="dxa"/>
            </w:tcMar>
            <w:tcW w:w="479"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序号</w:t>
            </w:r>
            <w:r/>
          </w:p>
        </w:tc>
        <w:tc>
          <w:tcPr>
            <w:shd w:val="clear" w:color="auto" w:fill="b8cce4" w:themeFill="accent1" w:themeFillTint="66"/>
            <w:tcMar>
              <w:top w:w="100" w:type="dxa"/>
              <w:bottom w:w="100" w:type="dxa"/>
            </w:tcMar>
            <w:tcW w:w="2651"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名称</w:t>
            </w:r>
            <w:r/>
          </w:p>
        </w:tc>
        <w:tc>
          <w:tcPr>
            <w:shd w:val="clear" w:color="auto" w:fill="b8cce4" w:themeFill="accent1" w:themeFillTint="66"/>
            <w:tcMar>
              <w:top w:w="100" w:type="dxa"/>
              <w:bottom w:w="100" w:type="dxa"/>
            </w:tcMar>
            <w:tcW w:w="712"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数量</w:t>
            </w:r>
            <w:r/>
          </w:p>
        </w:tc>
        <w:tc>
          <w:tcPr>
            <w:shd w:val="clear" w:color="auto" w:fill="b8cce4" w:themeFill="accent1" w:themeFillTint="66"/>
            <w:tcMar>
              <w:top w:w="100" w:type="dxa"/>
              <w:bottom w:w="100" w:type="dxa"/>
            </w:tcMar>
            <w:tcW w:w="575"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单位</w:t>
            </w:r>
            <w:r/>
          </w:p>
        </w:tc>
        <w:tc>
          <w:tcPr>
            <w:shd w:val="clear" w:color="auto" w:fill="b8cce4" w:themeFill="accent1" w:themeFillTint="66"/>
            <w:tcMar>
              <w:top w:w="100" w:type="dxa"/>
              <w:bottom w:w="100" w:type="dxa"/>
            </w:tcMar>
            <w:tcW w:w="538"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图片</w:t>
            </w:r>
            <w:r/>
          </w:p>
        </w:tc>
        <w:tc>
          <w:tcPr>
            <w:shd w:val="clear" w:color="auto" w:fill="b8cce4" w:themeFill="accent1" w:themeFillTint="66"/>
            <w:tcMar>
              <w:top w:w="100" w:type="dxa"/>
              <w:bottom w:w="100" w:type="dxa"/>
            </w:tcMar>
            <w:tcW w:w="2712"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所属行业</w:t>
            </w:r>
            <w:r/>
          </w:p>
        </w:tc>
        <w:tc>
          <w:tcPr>
            <w:shd w:val="clear" w:color="auto" w:fill="b8cce4" w:themeFill="accent1" w:themeFillTint="66"/>
            <w:tcMar>
              <w:top w:w="100" w:type="dxa"/>
              <w:bottom w:w="100" w:type="dxa"/>
            </w:tcMar>
            <w:tcW w:w="888"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标的类型</w:t>
            </w:r>
            <w:r/>
          </w:p>
        </w:tc>
        <w:tc>
          <w:tcPr>
            <w:shd w:val="clear" w:color="auto" w:fill="b8cce4" w:themeFill="accent1" w:themeFillTint="66"/>
            <w:tcMar>
              <w:top w:w="100" w:type="dxa"/>
              <w:bottom w:w="100" w:type="dxa"/>
            </w:tcMar>
            <w:tcW w:w="1227" w:type="dxa"/>
            <w:vAlign w:val="center"/>
            <w:textDirection w:val="lrTb"/>
            <w:noWrap w:val="false"/>
          </w:tcPr>
          <w:p>
            <w:pPr>
              <w:pStyle w:val="1368"/>
              <w:jc w:val="center"/>
              <w:spacing w:line="240" w:lineRule="auto"/>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标的属性</w:t>
            </w:r>
            <w:r/>
          </w:p>
        </w:tc>
      </w:tr>
      <w:tr>
        <w:trPr>
          <w:jc w:val="center"/>
          <w:trHeight w:val="567"/>
        </w:trPr>
        <w:tc>
          <w:tcPr>
            <w:tcMar>
              <w:top w:w="100" w:type="dxa"/>
              <w:bottom w:w="100" w:type="dxa"/>
            </w:tcMar>
            <w:tcW w:w="479" w:type="dxa"/>
            <w:vAlign w:val="center"/>
            <w:textDirection w:val="lrTb"/>
            <w:noWrap w:val="false"/>
          </w:tcPr>
          <w:p>
            <w:pPr>
              <w:pStyle w:val="1368"/>
              <w:jc w:val="center"/>
              <w:keepLines w:val="0"/>
              <w:keepNext w:val="0"/>
              <w:pageBreakBefore w:val="0"/>
              <w:spacing w:line="240" w:lineRule="auto"/>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w:t>
            </w:r>
            <w:r/>
          </w:p>
        </w:tc>
        <w:tc>
          <w:tcPr>
            <w:tcMar>
              <w:top w:w="100" w:type="dxa"/>
              <w:bottom w:w="100" w:type="dxa"/>
            </w:tcMar>
            <w:tcW w:w="2651" w:type="dxa"/>
            <w:vAlign w:val="center"/>
            <w:textDirection w:val="lrTb"/>
            <w:noWrap w:val="false"/>
          </w:tcPr>
          <w:p>
            <w:pPr>
              <w:pStyle w:val="1368"/>
              <w:jc w:val="center"/>
              <w:keepLines w:val="0"/>
              <w:keepNext w:val="0"/>
              <w:pageBreakBefore w:val="0"/>
              <w:spacing w:line="240" w:lineRule="auto"/>
              <w:widowControl/>
              <w:rPr>
                <w:rStyle w:val="1352"/>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张家港市第一人民医院心电监测服务项目</w:t>
            </w:r>
            <w:r/>
          </w:p>
        </w:tc>
        <w:tc>
          <w:tcPr>
            <w:tcMar>
              <w:top w:w="100" w:type="dxa"/>
              <w:bottom w:w="100" w:type="dxa"/>
            </w:tcMar>
            <w:tcW w:w="712" w:type="dxa"/>
            <w:vAlign w:val="center"/>
            <w:textDirection w:val="lrTb"/>
            <w:noWrap w:val="false"/>
          </w:tcPr>
          <w:p>
            <w:pPr>
              <w:pStyle w:val="1375"/>
              <w:jc w:val="center"/>
              <w:keepLines w:val="0"/>
              <w:keepNext w:val="0"/>
              <w:pageBreakBefore w:val="0"/>
              <w:spacing w:line="516" w:lineRule="exact"/>
              <w:widowControl/>
              <w:rPr>
                <w:rStyle w:val="1352"/>
                <w:rFonts w:hint="eastAsia" w:ascii="宋体" w:hAnsi="宋体" w:eastAsia="宋体" w:cs="宋体"/>
                <w:color w:val="000000" w:themeColor="text1"/>
                <w:spacing w:val="0"/>
                <w:sz w:val="24"/>
                <w:szCs w:val="24"/>
                <w:highlight w:val="none"/>
                <w:lang w:val="en-US" w:eastAsia="zh-CN"/>
                <w14:textFill>
                  <w14:solidFill>
                    <w14:schemeClr w14:val="tx1"/>
                  </w14:solidFill>
                </w14:textFill>
              </w:rPr>
              <w:outlineLvl w:val="9"/>
            </w:pPr>
            <w:r>
              <w:rPr>
                <w:rStyle w:val="1352"/>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p>
        </w:tc>
        <w:tc>
          <w:tcPr>
            <w:tcMar>
              <w:top w:w="100" w:type="dxa"/>
              <w:bottom w:w="100" w:type="dxa"/>
            </w:tcMar>
            <w:tcW w:w="575" w:type="dxa"/>
            <w:vAlign w:val="center"/>
            <w:textDirection w:val="lrTb"/>
            <w:noWrap w:val="false"/>
          </w:tcPr>
          <w:p>
            <w:pPr>
              <w:pStyle w:val="1375"/>
              <w:jc w:val="center"/>
              <w:keepLines w:val="0"/>
              <w:keepNext w:val="0"/>
              <w:pageBreakBefore w:val="0"/>
              <w:spacing w:line="516" w:lineRule="exact"/>
              <w:widowControl/>
              <w:rPr>
                <w:rStyle w:val="1352"/>
                <w:rFonts w:hint="eastAsia" w:ascii="宋体" w:hAnsi="宋体" w:eastAsia="宋体" w:cs="宋体"/>
                <w:color w:val="000000" w:themeColor="text1"/>
                <w:spacing w:val="0"/>
                <w:sz w:val="24"/>
                <w:szCs w:val="24"/>
                <w:highlight w:val="none"/>
                <w:lang w:val="en-US" w:eastAsia="zh-CN"/>
                <w14:textFill>
                  <w14:solidFill>
                    <w14:schemeClr w14:val="tx1"/>
                  </w14:solidFill>
                </w14:textFill>
              </w:rPr>
              <w:outlineLvl w:val="9"/>
            </w:pPr>
            <w:r>
              <w:rPr>
                <w:rStyle w:val="1352"/>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项</w:t>
            </w:r>
            <w:r/>
          </w:p>
        </w:tc>
        <w:tc>
          <w:tcPr>
            <w:tcMar>
              <w:top w:w="100" w:type="dxa"/>
              <w:bottom w:w="100" w:type="dxa"/>
            </w:tcMar>
            <w:tcW w:w="538" w:type="dxa"/>
            <w:vAlign w:val="center"/>
            <w:textDirection w:val="lrTb"/>
            <w:noWrap w:val="false"/>
          </w:tcPr>
          <w:p>
            <w:pPr>
              <w:pStyle w:val="1375"/>
              <w:jc w:val="center"/>
              <w:keepLines w:val="0"/>
              <w:keepNext w:val="0"/>
              <w:pageBreakBefore w:val="0"/>
              <w:spacing w:line="516" w:lineRule="exact"/>
              <w:widowControl/>
              <w:rPr>
                <w:rStyle w:val="1352"/>
                <w:rFonts w:hint="eastAsia" w:ascii="宋体" w:hAnsi="宋体" w:eastAsia="宋体" w:cs="宋体"/>
                <w:color w:val="000000" w:themeColor="text1"/>
                <w:spacing w:val="0"/>
                <w:sz w:val="24"/>
                <w:szCs w:val="24"/>
                <w:highlight w:val="none"/>
                <w:lang w:val="en-US" w:eastAsia="zh-CN"/>
                <w14:textFill>
                  <w14:solidFill>
                    <w14:schemeClr w14:val="tx1"/>
                  </w14:solidFill>
                </w14:textFill>
              </w:rPr>
              <w:outlineLvl w:val="9"/>
            </w:pPr>
            <w:r>
              <w:rPr>
                <w:rStyle w:val="1352"/>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无</w:t>
            </w:r>
            <w:r/>
          </w:p>
        </w:tc>
        <w:tc>
          <w:tcPr>
            <w:tcMar>
              <w:top w:w="100" w:type="dxa"/>
              <w:bottom w:w="100" w:type="dxa"/>
            </w:tcMar>
            <w:tcW w:w="2712" w:type="dxa"/>
            <w:vAlign w:val="center"/>
            <w:textDirection w:val="lrTb"/>
            <w:noWrap w:val="false"/>
          </w:tcPr>
          <w:p>
            <w:pPr>
              <w:pStyle w:val="1368"/>
              <w:jc w:val="center"/>
              <w:keepLines w:val="0"/>
              <w:keepNext w:val="0"/>
              <w:pageBreakBefore w:val="0"/>
              <w:spacing w:line="240" w:lineRule="auto"/>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88" w:type="dxa"/>
            <w:vAlign w:val="center"/>
            <w:textDirection w:val="lrTb"/>
            <w:noWrap w:val="false"/>
          </w:tcPr>
          <w:p>
            <w:pPr>
              <w:pStyle w:val="1368"/>
              <w:jc w:val="center"/>
              <w:keepLines w:val="0"/>
              <w:keepNext w:val="0"/>
              <w:pageBreakBefore w:val="0"/>
              <w:spacing w:line="240" w:lineRule="auto"/>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主要采购标的</w:t>
            </w:r>
            <w:r/>
          </w:p>
        </w:tc>
        <w:tc>
          <w:tcPr>
            <w:tcMar>
              <w:top w:w="100" w:type="dxa"/>
              <w:bottom w:w="100" w:type="dxa"/>
            </w:tcMar>
            <w:tcW w:w="1227" w:type="dxa"/>
            <w:vAlign w:val="center"/>
            <w:textDirection w:val="lrTb"/>
            <w:noWrap w:val="false"/>
          </w:tcPr>
          <w:p>
            <w:pPr>
              <w:pStyle w:val="1368"/>
              <w:jc w:val="center"/>
              <w:keepLines w:val="0"/>
              <w:keepNext w:val="0"/>
              <w:pageBreakBefore w:val="0"/>
              <w:spacing w:line="240" w:lineRule="auto"/>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服务类</w:t>
            </w:r>
            <w:r/>
          </w:p>
        </w:tc>
      </w:tr>
    </w:tbl>
    <w:p>
      <w:pPr>
        <w:pStyle w:val="1367"/>
        <w:ind w:firstLine="480"/>
        <w:keepLines w:val="0"/>
        <w:keepNext w:val="0"/>
        <w:pageBreakBefore w:val="0"/>
        <w:spacing w:line="520" w:lineRule="exact"/>
        <w:shd w:val="clear" w:color="auto" w:fill="auto"/>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pStyle w:val="1369"/>
        <w:ind w:firstLine="482"/>
        <w:keepLines w:val="0"/>
        <w:keepNext w:val="0"/>
        <w:pageBreakBefore w:val="0"/>
        <w:spacing w:line="520" w:lineRule="exact"/>
        <w:shd w:val="clear" w:color="auto" w:fill="auto"/>
        <w:widowControl/>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二</w:t>
      </w: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核心产品清单</w:t>
      </w:r>
      <w:r/>
    </w:p>
    <w:p>
      <w:pPr>
        <w:pStyle w:val="1369"/>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w:t>
      </w:r>
      <w:r/>
    </w:p>
    <w:p>
      <w:pPr>
        <w:pStyle w:val="1370"/>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注：</w:t>
      </w:r>
      <w:r/>
    </w:p>
    <w:p>
      <w:pPr>
        <w:pStyle w:val="1370"/>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1</w:t>
      </w:r>
      <w:r>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70"/>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2</w:t>
      </w:r>
      <w:r>
        <w:rPr>
          <w:rStyle w:val="1352"/>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70"/>
        <w:ind w:firstLine="482"/>
        <w:keepLines w:val="0"/>
        <w:keepNext w:val="0"/>
        <w:pageBreakBefore w:val="0"/>
        <w:spacing w:line="520" w:lineRule="exact"/>
        <w:shd w:val="clear" w:color="auto" w:fill="auto"/>
        <w:widowControl/>
        <w:rPr>
          <w:rStyle w:val="1352"/>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三</w:t>
      </w: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节能、环境标志产品清单(请提供国家确定的认证机构出具的、处于有效期之内的节能产品、环境标志产品认证证书（若证书有附件（附录）的，附件（附录）须随证书一起提供）</w:t>
      </w:r>
      <w:r/>
    </w:p>
    <w:p>
      <w:pPr>
        <w:pStyle w:val="1370"/>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节能产品政府采购品目清单：</w:t>
      </w:r>
      <w:r/>
    </w:p>
    <w:p>
      <w:pPr>
        <w:pStyle w:val="1370"/>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w:t>
      </w:r>
      <w:r/>
    </w:p>
    <w:p>
      <w:pPr>
        <w:pStyle w:val="1371"/>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环境标志产品政府采购品目清单：</w:t>
      </w:r>
      <w:r/>
    </w:p>
    <w:p>
      <w:pPr>
        <w:pStyle w:val="1370"/>
        <w:ind w:firstLine="480"/>
        <w:keepLines w:val="0"/>
        <w:keepNext w:val="0"/>
        <w:pageBreakBefore w:val="0"/>
        <w:spacing w:line="520" w:lineRule="exact"/>
        <w:shd w:val="clear" w:color="auto" w:fill="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04" w:name="EB408f2104b2e44804a6615a1921eee37c"/>
      <w:r/>
      <w:bookmarkEnd w:id="104"/>
      <w:r>
        <w:rPr>
          <w:rStyle w:val="1352"/>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w:t>
      </w:r>
      <w:r/>
    </w:p>
    <w:p>
      <w:pPr>
        <w:pStyle w:val="1370"/>
        <w:ind w:firstLine="482"/>
        <w:keepLines w:val="0"/>
        <w:keepNext w:val="0"/>
        <w:pageBreakBefore w:val="0"/>
        <w:spacing w:line="520" w:lineRule="exact"/>
        <w:shd w:val="clear" w:color="auto" w:fill="auto"/>
        <w:widowControl/>
        <w:rPr>
          <w:rStyle w:val="1352"/>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14:textFill>
            <w14:solidFill>
              <w14:schemeClr w14:val="tx1"/>
            </w14:solidFill>
          </w14:textFill>
        </w:rPr>
        <w:t xml:space="preserve">（四）绿色采购其他政策</w:t>
      </w:r>
      <w:r/>
    </w:p>
    <w:p>
      <w:pPr>
        <w:pStyle w:val="1371"/>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71"/>
        <w:ind w:firstLine="480"/>
        <w:keepLines w:val="0"/>
        <w:keepNext w:val="0"/>
        <w:pageBreakBefore w:val="0"/>
        <w:spacing w:line="520" w:lineRule="exact"/>
        <w:shd w:val="clear" w:color="auto" w:fill="auto"/>
        <w:widowControl/>
        <w:rPr>
          <w:rStyle w:val="1352"/>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1352"/>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0"/>
        </w:numPr>
        <w:keepLines w:val="0"/>
        <w:keepNext w:val="0"/>
        <w:pageBreakBefore w:val="0"/>
        <w:spacing w:line="520" w:lineRule="exact"/>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105" w:name="_Toc15832"/>
      <w:r>
        <w:rPr>
          <w:rFonts w:hint="eastAsia" w:ascii="宋体" w:hAnsi="宋体" w:eastAsia="宋体" w:cs="宋体"/>
          <w:b/>
          <w:color w:val="000000" w:themeColor="text1"/>
          <w:spacing w:val="0"/>
          <w:sz w:val="28"/>
          <w:szCs w:val="28"/>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技术要求</w:t>
      </w:r>
      <w:bookmarkEnd w:id="105"/>
      <w:r/>
      <w:r/>
    </w:p>
    <w:p>
      <w:pPr>
        <w:pStyle w:val="1181"/>
        <w:ind w:firstLine="482"/>
        <w:keepLines w:val="0"/>
        <w:keepNext w:val="0"/>
        <w:pageBreakBefore w:val="0"/>
        <w:spacing w:line="520" w:lineRule="exact"/>
        <w:widowControl w:val="off"/>
        <w:rPr>
          <w:rFonts w:hint="eastAsia" w:ascii="宋体" w:hAnsi="宋体" w:eastAsia="宋体" w:cs="宋体"/>
          <w:b/>
          <w:color w:val="000000" w:themeColor="text1"/>
          <w:spacing w:val="0"/>
          <w:sz w:val="28"/>
          <w:szCs w:val="28"/>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项目概况</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冠状动脉粥样硬化性心脏病是指由于冠状动脉粥样硬化使官腔狭窄、痉挛或阻塞导致心肌缺血、缺氧或坏死而引发的心脏病。</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冠心病早已成为发达国家人们健康的主要杀手，随着全球化进程的加速，心脑血管病已经在发展中国家开始蔓延。充分认识冠心病以及该病带来的巨大疾病负担，对进一步研究防治策略意义重大。</w:t>
      </w:r>
      <w:r>
        <w:rPr>
          <w:rFonts w:hint="eastAsia" w:ascii="宋体" w:hAnsi="宋体" w:eastAsia="宋体" w:cs="宋体"/>
          <w:color w:val="000000" w:themeColor="text1"/>
          <w:sz w:val="24"/>
          <w:szCs w:val="24"/>
          <w:highlight w:val="none"/>
          <w:lang w:bidi="ar"/>
          <w14:textFill>
            <w14:solidFill>
              <w14:schemeClr w14:val="tx1"/>
            </w14:solidFill>
          </w14:textFill>
        </w:rPr>
        <w:t xml:space="preserve">建设“心电一张网”项目有助于提高县域冠心病诊疗水平，为患者提供一体化、高质量的医疗服务，达到区域心电资源整合、诊断质量同质化、诊断报告区域互认。本次建设项目包含心电医疗服务：24小时心电监测、心电诊断、心电数据管理、心电全病程管理以及十二通道动态心电图、静息心电图设备、系统平台部署。</w:t>
      </w:r>
      <w:r/>
    </w:p>
    <w:p>
      <w:pPr>
        <w:ind w:firstLine="482"/>
        <w:keepLines w:val="0"/>
        <w:keepNext w:val="0"/>
        <w:pageBreakBefore w:val="0"/>
        <w:spacing w:line="520" w:lineRule="exact"/>
        <w:widowControl w:val="off"/>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服务机构要求</w:t>
      </w:r>
      <w:r/>
    </w:p>
    <w:p>
      <w:pPr>
        <w:ind w:firstLine="480"/>
        <w:keepLines w:val="0"/>
        <w:keepNext w:val="0"/>
        <w:pageBreakBefore w:val="0"/>
        <w:spacing w:line="52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要求投标人为独立的医疗机构。</w:t>
      </w:r>
      <w:r/>
    </w:p>
    <w:p>
      <w:pPr>
        <w:ind w:firstLine="482"/>
        <w:keepLines w:val="0"/>
        <w:keepNext w:val="0"/>
        <w:pageBreakBefore w:val="0"/>
        <w:spacing w:line="520" w:lineRule="exact"/>
        <w:widowControl w:val="off"/>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收费标准</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收费标准参照《江苏省医疗服务收费目录》，具体如下：</w:t>
      </w:r>
      <w:r/>
    </w:p>
    <w:tbl>
      <w:tblPr>
        <w:tblStyle w:val="1176"/>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148"/>
        <w:gridCol w:w="1831"/>
        <w:gridCol w:w="1124"/>
        <w:gridCol w:w="1573"/>
        <w:gridCol w:w="2262"/>
      </w:tblGrid>
      <w:tr>
        <w:trPr>
          <w:jc w:val="center"/>
          <w:trHeight w:val="567"/>
        </w:trPr>
        <w:tc>
          <w:tcPr>
            <w:shd w:val="clear" w:color="auto" w:fill="b8cce4" w:themeFill="accent1" w:themeFillTint="66"/>
            <w:tcW w:w="829" w:type="dxa"/>
            <w:vAlign w:val="center"/>
            <w:textDirection w:val="lrTb"/>
            <w:noWrap w:val="false"/>
          </w:tcPr>
          <w:p>
            <w:pPr>
              <w:pStyle w:val="1368"/>
              <w:jc w:val="center"/>
              <w:spacing w:after="0" w:line="240" w:lineRule="auto"/>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序号</w:t>
            </w:r>
            <w:r/>
          </w:p>
        </w:tc>
        <w:tc>
          <w:tcPr>
            <w:shd w:val="clear" w:color="auto" w:fill="b8cce4" w:themeFill="accent1" w:themeFillTint="66"/>
            <w:tcW w:w="2148" w:type="dxa"/>
            <w:vAlign w:val="center"/>
            <w:textDirection w:val="lrTb"/>
            <w:noWrap w:val="false"/>
          </w:tcPr>
          <w:p>
            <w:pPr>
              <w:pStyle w:val="1368"/>
              <w:jc w:val="center"/>
              <w:spacing w:after="0" w:line="240" w:lineRule="auto"/>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产品名称</w:t>
            </w:r>
            <w:r/>
          </w:p>
        </w:tc>
        <w:tc>
          <w:tcPr>
            <w:shd w:val="clear" w:color="auto" w:fill="b8cce4" w:themeFill="accent1" w:themeFillTint="66"/>
            <w:tcW w:w="1831" w:type="dxa"/>
            <w:vAlign w:val="center"/>
            <w:textDirection w:val="lrTb"/>
            <w:noWrap w:val="false"/>
          </w:tcPr>
          <w:p>
            <w:pPr>
              <w:pStyle w:val="1368"/>
              <w:jc w:val="center"/>
              <w:spacing w:after="0" w:line="240" w:lineRule="auto"/>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单价（元）</w:t>
            </w:r>
            <w:r/>
          </w:p>
        </w:tc>
        <w:tc>
          <w:tcPr>
            <w:shd w:val="clear" w:color="auto" w:fill="b8cce4" w:themeFill="accent1" w:themeFillTint="66"/>
            <w:tcW w:w="1124" w:type="dxa"/>
            <w:vAlign w:val="center"/>
            <w:textDirection w:val="lrTb"/>
            <w:noWrap w:val="false"/>
          </w:tcPr>
          <w:p>
            <w:pPr>
              <w:pStyle w:val="1368"/>
              <w:jc w:val="center"/>
              <w:spacing w:after="0" w:line="240" w:lineRule="auto"/>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单位</w:t>
            </w:r>
            <w:r/>
          </w:p>
        </w:tc>
        <w:tc>
          <w:tcPr>
            <w:shd w:val="clear" w:color="auto" w:fill="b8cce4" w:themeFill="accent1" w:themeFillTint="66"/>
            <w:tcW w:w="1573" w:type="dxa"/>
            <w:vAlign w:val="center"/>
            <w:textDirection w:val="lrTb"/>
            <w:noWrap w:val="false"/>
          </w:tcPr>
          <w:p>
            <w:pPr>
              <w:pStyle w:val="1368"/>
              <w:jc w:val="center"/>
              <w:spacing w:after="0" w:line="240" w:lineRule="auto"/>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医保信息</w:t>
            </w:r>
            <w:r/>
          </w:p>
        </w:tc>
        <w:tc>
          <w:tcPr>
            <w:shd w:val="clear" w:color="auto" w:fill="b8cce4" w:themeFill="accent1" w:themeFillTint="66"/>
            <w:tcW w:w="2262" w:type="dxa"/>
            <w:vAlign w:val="center"/>
            <w:textDirection w:val="lrTb"/>
            <w:noWrap w:val="false"/>
          </w:tcPr>
          <w:p>
            <w:pPr>
              <w:pStyle w:val="1368"/>
              <w:jc w:val="center"/>
              <w:spacing w:after="0" w:line="240" w:lineRule="auto"/>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医保编码</w:t>
            </w:r>
            <w:r/>
          </w:p>
        </w:tc>
      </w:tr>
      <w:tr>
        <w:trPr>
          <w:jc w:val="center"/>
          <w:trHeight w:val="567"/>
        </w:trPr>
        <w:tc>
          <w:tcPr>
            <w:tcW w:w="829"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148"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动态心电图</w:t>
            </w:r>
            <w:r/>
          </w:p>
        </w:tc>
        <w:tc>
          <w:tcPr>
            <w:tcW w:w="1831"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w:t>
            </w:r>
            <w:r/>
          </w:p>
        </w:tc>
        <w:tc>
          <w:tcPr>
            <w:tcW w:w="1124"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次</w:t>
            </w:r>
            <w:r/>
          </w:p>
        </w:tc>
        <w:tc>
          <w:tcPr>
            <w:tcW w:w="1573"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w:t>
            </w:r>
            <w:r/>
          </w:p>
        </w:tc>
        <w:tc>
          <w:tcPr>
            <w:tcW w:w="2262"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310701003</w:t>
            </w:r>
            <w:r/>
          </w:p>
        </w:tc>
      </w:tr>
      <w:tr>
        <w:trPr>
          <w:jc w:val="center"/>
          <w:trHeight w:val="567"/>
        </w:trPr>
        <w:tc>
          <w:tcPr>
            <w:tcW w:w="829"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148"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心率变异性分析</w:t>
            </w:r>
            <w:r/>
          </w:p>
        </w:tc>
        <w:tc>
          <w:tcPr>
            <w:tcW w:w="1831"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96</w:t>
            </w:r>
            <w:r/>
          </w:p>
        </w:tc>
        <w:tc>
          <w:tcPr>
            <w:tcW w:w="1124"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次</w:t>
            </w:r>
            <w:r/>
          </w:p>
        </w:tc>
        <w:tc>
          <w:tcPr>
            <w:tcW w:w="1573"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w:t>
            </w:r>
            <w:r/>
          </w:p>
        </w:tc>
        <w:tc>
          <w:tcPr>
            <w:tcW w:w="2262"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310701018</w:t>
            </w:r>
            <w:r/>
          </w:p>
        </w:tc>
      </w:tr>
      <w:tr>
        <w:trPr>
          <w:jc w:val="center"/>
          <w:trHeight w:val="567"/>
        </w:trPr>
        <w:tc>
          <w:tcPr>
            <w:tcW w:w="829"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2148"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1831"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288</w:t>
            </w:r>
            <w:r/>
          </w:p>
        </w:tc>
        <w:tc>
          <w:tcPr>
            <w:tcW w:w="1124"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573"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2262"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Height w:val="567"/>
        </w:trPr>
        <w:tc>
          <w:tcPr>
            <w:tcW w:w="829"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3</w:t>
            </w:r>
            <w:r/>
          </w:p>
        </w:tc>
        <w:tc>
          <w:tcPr>
            <w:tcW w:w="2148"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常规心电图检查（十二通道）</w:t>
            </w:r>
            <w:r/>
          </w:p>
        </w:tc>
        <w:tc>
          <w:tcPr>
            <w:tcW w:w="1831"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36</w:t>
            </w:r>
            <w:r/>
          </w:p>
        </w:tc>
        <w:tc>
          <w:tcPr>
            <w:tcW w:w="1124"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次</w:t>
            </w:r>
            <w:r/>
          </w:p>
        </w:tc>
        <w:tc>
          <w:tcPr>
            <w:tcW w:w="1573"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有</w:t>
            </w:r>
            <w:r/>
          </w:p>
        </w:tc>
        <w:tc>
          <w:tcPr>
            <w:tcW w:w="2262" w:type="dxa"/>
            <w:vAlign w:val="center"/>
            <w:textDirection w:val="lrTb"/>
            <w:noWrap w:val="false"/>
          </w:tcPr>
          <w:p>
            <w:pPr>
              <w:ind w:firstLine="0"/>
              <w:jc w:val="center"/>
              <w:keepLines w:val="0"/>
              <w:keepNext w:val="0"/>
              <w:pageBreakBefore w:val="0"/>
              <w:spacing w:after="0" w:line="240" w:lineRule="auto"/>
              <w:shd w:val="clear" w:color="auto"/>
              <w:widowControl/>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310701001-b</w:t>
            </w:r>
            <w:r/>
          </w:p>
        </w:tc>
      </w:tr>
    </w:tbl>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．该收费标准后续如有变更，按照最新收费标准执行。</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．检查费用全部由采购人向受检者（患者）收取，中标人为受检者（患者）提供检查服务时，不得再以任何形式收取其他费用。结算价格为实际检查数量*项目收费标准*（1-投标优惠率），合同服务期内，若</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年度实际发生金额超过</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预算总金额，则</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中标单位不得停止服务，</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最终</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年度结算总金额仍为</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预算总金额。</w:t>
      </w:r>
      <w:r/>
    </w:p>
    <w:p>
      <w:pPr>
        <w:pStyle w:val="1181"/>
        <w:ind w:firstLine="482"/>
        <w:keepLines w:val="0"/>
        <w:keepNext w:val="0"/>
        <w:pageBreakBefore w:val="0"/>
        <w:spacing w:line="52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服务范围</w:t>
      </w:r>
      <w:r/>
    </w:p>
    <w:p>
      <w:pPr>
        <w:pStyle w:val="1181"/>
        <w:ind w:firstLine="480"/>
        <w:keepLines w:val="0"/>
        <w:keepNext w:val="0"/>
        <w:pageBreakBefore w:val="0"/>
        <w:spacing w:line="520" w:lineRule="exact"/>
        <w:rPr>
          <w:rFonts w:hint="eastAsia"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1．本项目的服务范围为：建设心电监测中心和诊断中心，心电监测中心实现心电数据采集上传到心电监测平台，实现监测患者心电波形，提供远程监测、预警服务；诊断中心提供远程诊断服务；数据本地化，病人监测数据传输并存储到医院服务器，医院有权随时查看、调阅相关资料，监测平台完成与医院信息系统对接（含接口费）</w:t>
      </w:r>
      <w:r>
        <w:rPr>
          <w:rFonts w:hint="eastAsia" w:cs="宋体"/>
          <w:b w:val="0"/>
          <w:bCs w:val="0"/>
          <w:color w:val="000000" w:themeColor="text1"/>
          <w:sz w:val="24"/>
          <w:szCs w:val="24"/>
          <w:highlight w:val="none"/>
          <w:lang w:eastAsia="zh-CN" w:bidi="ar"/>
          <w14:textFill>
            <w14:solidFill>
              <w14:schemeClr w14:val="tx1"/>
            </w14:solidFill>
          </w14:textFill>
        </w:rPr>
        <w:t xml:space="preserve">。</w:t>
      </w:r>
      <w:r/>
    </w:p>
    <w:p>
      <w:pPr>
        <w:pStyle w:val="1181"/>
        <w:ind w:firstLine="480"/>
        <w:keepLines w:val="0"/>
        <w:keepNext w:val="0"/>
        <w:pageBreakBefore w:val="0"/>
        <w:spacing w:line="5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．投标人提供24小时心电监测服务，有危急值出现时能迅速响应并通知相关医院值班人员。</w:t>
      </w:r>
      <w:r/>
    </w:p>
    <w:p>
      <w:pPr>
        <w:pStyle w:val="1181"/>
        <w:ind w:firstLine="480"/>
        <w:keepLines w:val="0"/>
        <w:keepNext w:val="0"/>
        <w:pageBreakBefore w:val="0"/>
        <w:spacing w:line="5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．心电监测服务提供电话预警通知及文字通知服务。</w:t>
      </w:r>
      <w:r/>
    </w:p>
    <w:p>
      <w:pPr>
        <w:pStyle w:val="1181"/>
        <w:ind w:firstLine="480"/>
        <w:keepLines w:val="0"/>
        <w:keepNext w:val="0"/>
        <w:pageBreakBefore w:val="0"/>
        <w:spacing w:line="5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．监测服务时间：全年7×24小时制（含国家法定节假日）。</w:t>
      </w:r>
      <w:r/>
    </w:p>
    <w:p>
      <w:pPr>
        <w:pStyle w:val="1181"/>
        <w:ind w:firstLine="480"/>
        <w:keepLines w:val="0"/>
        <w:keepNext w:val="0"/>
        <w:pageBreakBefore w:val="0"/>
        <w:spacing w:line="5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．提供动态、静态心电监测设备，保障监测的数据的上传。</w:t>
      </w:r>
      <w:r/>
    </w:p>
    <w:p>
      <w:pPr>
        <w:pStyle w:val="1181"/>
        <w:ind w:firstLine="480"/>
        <w:keepLines w:val="0"/>
        <w:keepNext w:val="0"/>
        <w:pageBreakBefore w:val="0"/>
        <w:spacing w:line="52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．提供基层医联体</w:t>
      </w:r>
      <w:r>
        <w:rPr>
          <w:rFonts w:hint="eastAsia" w:cs="宋体"/>
          <w:b w:val="0"/>
          <w:bCs w:val="0"/>
          <w:color w:val="000000" w:themeColor="text1"/>
          <w:sz w:val="24"/>
          <w:szCs w:val="24"/>
          <w:highlight w:val="none"/>
          <w:lang w:eastAsia="zh-CN" w:bidi="ar"/>
          <w14:textFill>
            <w14:solidFill>
              <w14:schemeClr w14:val="tx1"/>
            </w14:solidFill>
          </w14:textFill>
        </w:rPr>
        <w:t xml:space="preserve">、</w:t>
      </w:r>
      <w:r>
        <w:rPr>
          <w:rFonts w:hint="eastAsia" w:cs="宋体"/>
          <w:b w:val="0"/>
          <w:bCs w:val="0"/>
          <w:color w:val="000000" w:themeColor="text1"/>
          <w:sz w:val="24"/>
          <w:szCs w:val="24"/>
          <w:highlight w:val="none"/>
          <w:lang w:val="en-US" w:eastAsia="zh-CN" w:bidi="ar"/>
          <w14:textFill>
            <w14:solidFill>
              <w14:schemeClr w14:val="tx1"/>
            </w14:solidFill>
          </w14:textFill>
        </w:rPr>
        <w:t xml:space="preserve">医共体</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医疗单位与中心医院心电数据管理服务，衔接医联体</w:t>
      </w:r>
      <w:r>
        <w:rPr>
          <w:rFonts w:hint="eastAsia" w:cs="宋体"/>
          <w:b w:val="0"/>
          <w:bCs w:val="0"/>
          <w:color w:val="000000" w:themeColor="text1"/>
          <w:sz w:val="24"/>
          <w:szCs w:val="24"/>
          <w:highlight w:val="none"/>
          <w:lang w:eastAsia="zh-CN" w:bidi="ar"/>
          <w14:textFill>
            <w14:solidFill>
              <w14:schemeClr w14:val="tx1"/>
            </w14:solidFill>
          </w14:textFill>
        </w:rPr>
        <w:t xml:space="preserve">、</w:t>
      </w:r>
      <w:r>
        <w:rPr>
          <w:rFonts w:hint="eastAsia" w:cs="宋体"/>
          <w:b w:val="0"/>
          <w:bCs w:val="0"/>
          <w:color w:val="000000" w:themeColor="text1"/>
          <w:sz w:val="24"/>
          <w:szCs w:val="24"/>
          <w:highlight w:val="none"/>
          <w:lang w:val="en-US" w:eastAsia="zh-CN" w:bidi="ar"/>
          <w14:textFill>
            <w14:solidFill>
              <w14:schemeClr w14:val="tx1"/>
            </w14:solidFill>
          </w14:textFill>
        </w:rPr>
        <w:t xml:space="preserve">医共体</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之间的分级诊疗、远程会诊。</w:t>
      </w:r>
      <w:r/>
    </w:p>
    <w:p>
      <w:pPr>
        <w:pStyle w:val="1181"/>
        <w:ind w:firstLine="482"/>
        <w:keepLines w:val="0"/>
        <w:keepNext w:val="0"/>
        <w:pageBreakBefore w:val="0"/>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服务质量要求</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1．数据记录与传输</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监测人员需定时检查监测，确认数据记录无遗漏。利用专业软件将监测数据上传至服务器，确保数据的安全性与可追溯性。</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2．心电监测中心</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（1）多设备在线监测，大屏显示；</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（2）危机事件智能提醒,同时提供人工呼叫功能；</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（3）急性心肌梗塞的敏感性≥95%；</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（4）预警范围包括疑似急性心肌梗塞、严重快速性心律失常和慢速性心律失常等。</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3．报告诊断中心</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（1）在医院设立心电诊断中心，配备专业心电诊断人员和业务管理人员，具备开展远程心电诊断的场地和基本设施，功能分区明确。</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（2）诊断中心帮助医院承担区域内各级医疗机构及社区卫生服务机构心电图检查结果的远程诊断报告出具与会诊任务。</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（3）在动态心电分析功能上支持：模板分析功能、事件筛查功能、全览图功能、诊断图功能、直方图功能、散点图功能、报告撰写等功能。</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4．异常处理</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具有危急值自动弹窗提示、语音预警，发现异常心电信号时，立即记录时间、波形特征等信息，并在5分钟内通知主治医师。</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5．设备校验</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定期对监测设备进行计量检测与性能验证，确保其准确性与可靠性。记录设备校验结果，建立设备档案。</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6．投标人具有完善的管理制度体系</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（1）心电图危急值处理：具备心电图危急值管理体系；</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（2）具备心电报告审核制度；</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（3）具备疑难病例讨论制度；</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（4）具备监测医生分级管理与岗位责制；</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（5）具备监测中心值班与交接班制度；</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（6）具备心电报告质控制度与职责；</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（7）监测中心医疗文书管理制度。</w:t>
      </w:r>
      <w:r/>
    </w:p>
    <w:p>
      <w:pPr>
        <w:pStyle w:val="1181"/>
        <w:ind w:firstLine="482"/>
        <w:keepLines w:val="0"/>
        <w:keepNext w:val="0"/>
        <w:pageBreakBefore w:val="0"/>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设备要求</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1．硬件要求</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（1）投标人提供的心电监测设备</w:t>
      </w:r>
      <w:r>
        <w:rPr>
          <w:rFonts w:hint="eastAsia" w:cs="宋体"/>
          <w:color w:val="000000" w:themeColor="text1"/>
          <w:sz w:val="24"/>
          <w:szCs w:val="24"/>
          <w:highlight w:val="none"/>
          <w:lang w:val="en-US" w:eastAsia="zh-CN" w:bidi="ar"/>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同时具备数据采集和网络传输功能，患者数据可上传至远程心电监测平台，相关心电监测设备数量根据医院（含医联体</w:t>
      </w:r>
      <w:r>
        <w:rPr>
          <w:rFonts w:hint="eastAsia" w:cs="宋体"/>
          <w:b w:val="0"/>
          <w:bCs w:val="0"/>
          <w:color w:val="000000" w:themeColor="text1"/>
          <w:sz w:val="24"/>
          <w:szCs w:val="24"/>
          <w:highlight w:val="none"/>
          <w:lang w:eastAsia="zh-CN" w:bidi="ar"/>
          <w14:textFill>
            <w14:solidFill>
              <w14:schemeClr w14:val="tx1"/>
            </w14:solidFill>
          </w14:textFill>
        </w:rPr>
        <w:t xml:space="preserve">、</w:t>
      </w:r>
      <w:r>
        <w:rPr>
          <w:rFonts w:hint="eastAsia" w:cs="宋体"/>
          <w:b w:val="0"/>
          <w:bCs w:val="0"/>
          <w:color w:val="000000" w:themeColor="text1"/>
          <w:sz w:val="24"/>
          <w:szCs w:val="24"/>
          <w:highlight w:val="none"/>
          <w:lang w:val="en-US" w:eastAsia="zh-CN" w:bidi="ar"/>
          <w14:textFill>
            <w14:solidFill>
              <w14:schemeClr w14:val="tx1"/>
            </w14:solidFill>
          </w14:textFill>
        </w:rPr>
        <w:t xml:space="preserve">医共体</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医疗单位）实际需求来增减，如有新增需求，中标人在5个工作日内供货完毕。</w:t>
      </w:r>
      <w:r/>
    </w:p>
    <w:p>
      <w:pPr>
        <w:pStyle w:val="1181"/>
        <w:ind w:firstLine="480"/>
        <w:keepLines w:val="0"/>
        <w:keepNext w:val="0"/>
        <w:pageBreakBefore w:val="0"/>
        <w:spacing w:line="520" w:lineRule="exact"/>
        <w:rPr>
          <w:rFonts w:hint="eastAsia"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cs="宋体"/>
          <w:color w:val="000000" w:themeColor="text1"/>
          <w:sz w:val="24"/>
          <w:szCs w:val="24"/>
          <w:highlight w:val="none"/>
          <w:lang w:val="en-US" w:eastAsia="zh-CN" w:bidi="ar"/>
          <w14:textFill>
            <w14:solidFill>
              <w14:schemeClr w14:val="tx1"/>
            </w14:solidFill>
          </w14:textFill>
        </w:rPr>
        <w:t xml:space="preserve">提供心电设备包含十二导动态心电设备、三导动态心电设备、单导联心电设备、</w:t>
      </w:r>
      <w:r>
        <w:rPr>
          <w:rFonts w:hint="eastAsia" w:ascii="宋体" w:hAnsi="宋体" w:cs="宋体"/>
          <w:b w:val="0"/>
          <w:bCs w:val="0"/>
          <w:color w:val="000000" w:themeColor="text1"/>
          <w:spacing w:val="7"/>
          <w:sz w:val="24"/>
          <w:szCs w:val="24"/>
          <w:highlight w:val="none"/>
          <w:lang w:val="en-US" w:eastAsia="zh-CN"/>
          <w14:textFill>
            <w14:solidFill>
              <w14:schemeClr w14:val="tx1"/>
            </w14:solidFill>
          </w14:textFill>
        </w:rPr>
        <w:t xml:space="preserve">常规12导心电图机（含工作站）</w:t>
      </w:r>
      <w:r>
        <w:rPr>
          <w:rFonts w:hint="eastAsia" w:cs="宋体"/>
          <w:b w:val="0"/>
          <w:bCs w:val="0"/>
          <w:color w:val="000000" w:themeColor="text1"/>
          <w:spacing w:val="7"/>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动态心电监测设备的数据采集功能：能够实现</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连续24小时不间断心电数据采集和存储</w:t>
      </w:r>
      <w:r>
        <w:rPr>
          <w:rFonts w:hint="eastAsia" w:cs="宋体"/>
          <w:color w:val="000000" w:themeColor="text1"/>
          <w:sz w:val="24"/>
          <w:szCs w:val="24"/>
          <w:highlight w:val="none"/>
          <w:lang w:val="en-US" w:eastAsia="zh-CN" w:bidi="ar"/>
          <w14:textFill>
            <w14:solidFill>
              <w14:schemeClr w14:val="tx1"/>
            </w14:solidFill>
          </w14:textFill>
        </w:rPr>
        <w:t xml:space="preserve">，</w:t>
      </w:r>
      <w:r>
        <w:rPr>
          <w:rFonts w:hint="eastAsia" w:cs="宋体"/>
          <w:strike w:val="0"/>
          <w:color w:val="000000" w:themeColor="text1"/>
          <w:sz w:val="24"/>
          <w:szCs w:val="24"/>
          <w:highlight w:val="none"/>
          <w:lang w:val="en-US" w:eastAsia="zh-CN" w:bidi="ar"/>
          <w14:textFill>
            <w14:solidFill>
              <w14:schemeClr w14:val="tx1"/>
            </w14:solidFill>
          </w14:textFill>
        </w:rPr>
        <w:t xml:space="preserve">具有实时传输功能</w:t>
      </w:r>
      <w:r>
        <w:rPr>
          <w:rFonts w:hint="eastAsia" w:cs="宋体"/>
          <w:color w:val="000000" w:themeColor="text1"/>
          <w:sz w:val="24"/>
          <w:szCs w:val="24"/>
          <w:highlight w:val="none"/>
          <w:lang w:val="en-US" w:eastAsia="zh-CN" w:bidi="ar"/>
          <w14:textFill>
            <w14:solidFill>
              <w14:schemeClr w14:val="tx1"/>
            </w14:solidFill>
          </w14:textFill>
        </w:rPr>
        <w:t xml:space="preserve">。</w:t>
      </w:r>
      <w:r/>
    </w:p>
    <w:p>
      <w:pPr>
        <w:pStyle w:val="1181"/>
        <w:ind w:firstLine="480"/>
        <w:keepLines w:val="0"/>
        <w:keepNext w:val="0"/>
        <w:pageBreakBefore w:val="0"/>
        <w:spacing w:line="520" w:lineRule="exact"/>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内置4G卡，支持4G数据实时传输。</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）提供心电监测设备的配件及所有的维修服务。</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（5）设备所有权归属于中标人。</w:t>
      </w:r>
      <w:r/>
    </w:p>
    <w:p>
      <w:pPr>
        <w:pStyle w:val="1181"/>
        <w:ind w:firstLine="480"/>
        <w:keepLines w:val="0"/>
        <w:keepNext w:val="0"/>
        <w:pageBreakBefore w:val="0"/>
        <w:spacing w:line="520" w:lineRule="exact"/>
        <w:rPr>
          <w:rFonts w:hint="eastAsia" w:cs="宋体"/>
          <w:color w:val="000000" w:themeColor="text1"/>
          <w:sz w:val="24"/>
          <w:szCs w:val="24"/>
          <w:highlight w:val="none"/>
          <w:lang w:val="en-US" w:eastAsia="zh-CN" w:bidi="ar"/>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（6）服务期间配套一次性使用电极片由中标人免费提供。</w:t>
      </w:r>
      <w:r/>
    </w:p>
    <w:p>
      <w:pPr>
        <w:pStyle w:val="1181"/>
        <w:ind w:firstLine="480"/>
        <w:keepLines w:val="0"/>
        <w:keepNext w:val="0"/>
        <w:pageBreakBefore w:val="0"/>
        <w:spacing w:line="520" w:lineRule="exact"/>
        <w:rPr>
          <w:rFonts w:hint="default" w:cs="宋体"/>
          <w:b/>
          <w:bCs/>
          <w:color w:val="000000" w:themeColor="text1"/>
          <w:sz w:val="24"/>
          <w:szCs w:val="24"/>
          <w:highlight w:val="none"/>
          <w:lang w:val="en-US" w:eastAsia="zh-CN" w:bidi="ar"/>
          <w14:textFill>
            <w14:solidFill>
              <w14:schemeClr w14:val="tx1"/>
            </w14:solidFill>
          </w14:textFill>
        </w:rPr>
      </w:pPr>
      <w:r>
        <w:rPr>
          <w:rFonts w:hint="eastAsia" w:cs="宋体"/>
          <w:b/>
          <w:bCs/>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w:t>
      </w:r>
      <w:r>
        <w:rPr>
          <w:rFonts w:hint="eastAsia" w:cs="宋体"/>
          <w:b/>
          <w:bCs/>
          <w:color w:val="000000" w:themeColor="text1"/>
          <w:sz w:val="24"/>
          <w:szCs w:val="24"/>
          <w:highlight w:val="none"/>
          <w:lang w:val="en-US" w:eastAsia="zh-CN" w:bidi="ar"/>
          <w14:textFill>
            <w14:solidFill>
              <w14:schemeClr w14:val="tx1"/>
            </w14:solidFill>
          </w14:textFill>
        </w:rPr>
        <w:t xml:space="preserve">主要硬件设备技术参数</w:t>
      </w:r>
      <w:r/>
    </w:p>
    <w:tbl>
      <w:tblPr>
        <w:tblStyle w:val="1148"/>
        <w:tblW w:w="9750"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8456"/>
      </w:tblGrid>
      <w:tr>
        <w:trPr>
          <w:trHeight w:val="567"/>
        </w:trPr>
        <w:tc>
          <w:tcPr>
            <w:tcW w:w="1294" w:type="dxa"/>
            <w:vAlign w:val="center"/>
            <w:textDirection w:val="lrTb"/>
            <w:noWrap w:val="false"/>
          </w:tcPr>
          <w:p>
            <w:pPr>
              <w:jc w:val="center"/>
              <w:keepLines w:val="0"/>
              <w:keepNext w:val="0"/>
              <w:pageBreakBefore w:val="0"/>
              <w:spacing w:line="3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动态心电记录仪（12导）</w:t>
            </w:r>
            <w:r/>
          </w:p>
        </w:tc>
        <w:tc>
          <w:tcPr>
            <w:tcW w:w="8456" w:type="dxa"/>
            <w:vAlign w:val="center"/>
            <w:textDirection w:val="lrTb"/>
            <w:noWrap w:val="false"/>
          </w:tcPr>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支持十二导心电数据采集，配有10根导联线同步12导联采集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▲内置LCD显示屏≥2.5寸，支持6导联心电波形实时预览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【提供实物照片证明】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采样精度≥24位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▲输入阻抗：≥50MΩ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【提供医疗器械检验报告证明】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耐极化电压：±600mV</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▲系统噪声：≤15μV</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【提供医疗器械检验报告证明】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共模抑制比：＞100dB</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频率响应：0.05Hz-100Hz</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支持起搏脉冲显示能力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数据采集功能：能够实现连续24小时不间断12导心电数据采集和存储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▲数据传输：内置4G卡，支持4G数据实时传输。【提供医疗器械检验报告证明】</w:t>
            </w:r>
            <w:r/>
          </w:p>
          <w:p>
            <w:pPr>
              <w:pStyle w:val="1194"/>
              <w:numPr>
                <w:ilvl w:val="0"/>
                <w:numId w:val="0"/>
              </w:numPr>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内置可充电锂电池供电，满足数据实时传输需求。</w:t>
            </w:r>
            <w:r/>
          </w:p>
          <w:p>
            <w:pPr>
              <w:pStyle w:val="1161"/>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具有医疗器械产品备案或注册证明，并提供其医疗器械产品备案或注册证明复印件。</w:t>
            </w:r>
            <w:r/>
          </w:p>
        </w:tc>
      </w:tr>
      <w:tr>
        <w:trPr>
          <w:trHeight w:val="567"/>
        </w:trPr>
        <w:tc>
          <w:tcPr>
            <w:tcW w:w="1294" w:type="dxa"/>
            <w:vAlign w:val="center"/>
            <w:textDirection w:val="lrTb"/>
            <w:noWrap w:val="false"/>
          </w:tcPr>
          <w:p>
            <w:pPr>
              <w:jc w:val="center"/>
              <w:keepLines w:val="0"/>
              <w:keepNext w:val="0"/>
              <w:pageBreakBefore w:val="0"/>
              <w:spacing w:line="3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常规心电图机（含工作站）</w:t>
            </w:r>
            <w:r/>
          </w:p>
        </w:tc>
        <w:tc>
          <w:tcPr>
            <w:tcW w:w="8456" w:type="dxa"/>
            <w:textDirection w:val="lrTb"/>
            <w:noWrap w:val="false"/>
          </w:tcPr>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设备注册类型为心电图机，不接受心电采集盒模式</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【提供医疗器械注册证及设备外观图片证明】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数字式心电图机，支持标准12导心电图同步采集、记录功能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主机全触控操作，无物理硬按键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5英寸以上高分辨率、全视角液晶显示屏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▲手持式便携移动心电采集终端，设备主机重量≤300g</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【提供产品制造商公开发布的资料证明】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▲心电图主机支持内置4G功能，内置4G卡槽，内置eSIM卡，不接受外置模块，支持全网通联网通讯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心电图主机支持2.4GHz/5GHz双频段无线Wi-Fi</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【提供投标型号产品经中华人民共和国工业和信息化部颁发的“无线电发射设备型号核准证”复印件】</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输入阻抗：≥100MΩ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▲内部噪声：≤10μVP-P</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【提供医疗器械注册证明材料】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▲定标电压：1mV±1%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【提供医疗器械注册证明材料】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▲共模抑制比：＞125dB（默认交流滤波关闭）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【提供医疗器械注册证明材料】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▲耐极化电压：≥±950mV</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【提供医疗器械注册证明材料】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频响范围：0.01-350Hz全频滤波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▲时间常数：＞5s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【提供医疗器械注册证明材料】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▲支持通过无线座充充电。【提供产品制造商公开发布的资料证明】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临床信息完善：支持识别特定类型病人并提醒采集人员补充完善临床信息，如患者是否佩戴了起搏器，从源头上规避影响诊断的重采问题。【提供软件界面截图证明】</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支持NFC识别功能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支持GPS定位功能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▲QTc参数测量：内置5种以上测量算法，QTc计算方法可通过系统设置调阅并设置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【提供QTc算法功能截图证明材料】</w:t>
            </w:r>
            <w:r/>
          </w:p>
          <w:p>
            <w:pPr>
              <w:pStyle w:val="1194"/>
              <w:numPr>
                <w:ilvl w:val="0"/>
                <w:numId w:val="0"/>
              </w:numPr>
              <w:jc w:val="left"/>
              <w:keepLines w:val="0"/>
              <w:keepNext w:val="0"/>
              <w:pageBreakBefore w:val="0"/>
              <w:spacing w:line="3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心电图机支持批量下载预约记录功能，并支持待检查列表显示，列表应包含检查姓名、性别、年龄等信息。</w:t>
            </w:r>
            <w:r/>
          </w:p>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具备全导联起搏检测，准确识别起搏信号。</w:t>
            </w:r>
            <w:r/>
          </w:p>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▲内置可充电锂离子电池，充足电后可持续工作时间≥6小时，充分保证出诊和查房使用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【提供说明书证明】</w:t>
            </w:r>
            <w:r/>
          </w:p>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存储量：设备内置≥16GB存储器，存储病历不小于10000份心电数据存储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94"/>
              <w:numPr>
                <w:ilvl w:val="0"/>
                <w:numId w:val="0"/>
              </w:numPr>
              <w:keepLines w:val="0"/>
              <w:keepNext w:val="0"/>
              <w:pageBreakBefore w:val="0"/>
              <w:spacing w:line="3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在采集端将心电图原始数据生成二维码，并通过手机端微信分享形式将心电图原始波形从内网传输至外网，可应对因网络异常、系统异常导致心电图无法上传至心电诊断中心等情况。【提供软件界面截图证明及承诺函】</w:t>
            </w:r>
            <w:r/>
          </w:p>
        </w:tc>
      </w:tr>
    </w:tbl>
    <w:p>
      <w:pPr>
        <w:pStyle w:val="1181"/>
        <w:ind w:firstLine="480"/>
        <w:keepLines w:val="0"/>
        <w:keepNext w:val="0"/>
        <w:pageBreakBefore w:val="0"/>
        <w:spacing w:line="520" w:lineRule="exact"/>
        <w:rPr>
          <w:rFonts w:hint="eastAsia" w:cs="宋体"/>
          <w:b/>
          <w:bCs w:val="0"/>
          <w:color w:val="000000" w:themeColor="text1"/>
          <w:sz w:val="24"/>
          <w:szCs w:val="24"/>
          <w:highlight w:val="none"/>
          <w:lang w:val="en-US" w:eastAsia="zh-CN" w:bidi="ar"/>
          <w14:textFill>
            <w14:solidFill>
              <w14:schemeClr w14:val="tx1"/>
            </w14:solidFill>
          </w14:textFill>
        </w:rPr>
      </w:pPr>
      <w:r>
        <w:rPr>
          <w:rStyle w:val="1352"/>
          <w:rFonts w:hint="eastAsia" w:ascii="宋体" w:hAnsi="宋体" w:eastAsia="宋体" w:cs="宋体"/>
          <w:b/>
          <w:bCs w:val="0"/>
          <w:color w:val="000000" w:themeColor="text1"/>
          <w:sz w:val="24"/>
          <w:szCs w:val="24"/>
          <w:highlight w:val="none"/>
          <w:lang w:val="en-US"/>
          <w14:textFill>
            <w14:solidFill>
              <w14:schemeClr w14:val="tx1"/>
            </w14:solidFill>
          </w14:textFill>
        </w:rPr>
        <w:t xml:space="preserve">注：</w:t>
      </w:r>
      <w:r>
        <w:rPr>
          <w:rStyle w:val="1352"/>
          <w:rFonts w:hint="eastAsia" w:ascii="宋体" w:hAnsi="宋体" w:eastAsia="宋体" w:cs="宋体"/>
          <w:b/>
          <w:bCs w:val="0"/>
          <w:color w:val="000000" w:themeColor="text1"/>
          <w:sz w:val="24"/>
          <w:szCs w:val="24"/>
          <w:highlight w:val="none"/>
          <w14:textFill>
            <w14:solidFill>
              <w14:schemeClr w14:val="tx1"/>
            </w14:solidFill>
          </w14:textFill>
        </w:rPr>
        <w:t xml:space="preserve">以“▲”标注的参数</w:t>
      </w:r>
      <w:r>
        <w:rPr>
          <w:rStyle w:val="1352"/>
          <w:rFonts w:ascii="宋体" w:hAnsi="宋体" w:eastAsia="宋体" w:cs="宋体"/>
          <w:b/>
          <w:bCs w:val="0"/>
          <w:color w:val="000000" w:themeColor="text1"/>
          <w:sz w:val="24"/>
          <w:szCs w:val="24"/>
          <w:highlight w:val="none"/>
          <w14:textFill>
            <w14:solidFill>
              <w14:schemeClr w14:val="tx1"/>
            </w14:solidFill>
          </w14:textFill>
        </w:rPr>
        <w:t xml:space="preserve">为重要技术指标，需提供相关证明材料，并在</w:t>
      </w:r>
      <w:r>
        <w:rPr>
          <w:rStyle w:val="1352"/>
          <w:rFonts w:hint="eastAsia" w:ascii="宋体" w:hAnsi="宋体" w:eastAsia="宋体" w:cs="宋体"/>
          <w:b/>
          <w:bCs w:val="0"/>
          <w:color w:val="000000" w:themeColor="text1"/>
          <w:sz w:val="24"/>
          <w:szCs w:val="24"/>
          <w:highlight w:val="none"/>
          <w14:textFill>
            <w14:solidFill>
              <w14:schemeClr w14:val="tx1"/>
            </w14:solidFill>
          </w14:textFill>
        </w:rPr>
        <w:t xml:space="preserve">“主要硬件设备技术参数响应及偏离表”</w:t>
      </w:r>
      <w:r>
        <w:rPr>
          <w:rStyle w:val="1352"/>
          <w:rFonts w:ascii="宋体" w:hAnsi="宋体" w:eastAsia="宋体" w:cs="宋体"/>
          <w:b/>
          <w:bCs w:val="0"/>
          <w:color w:val="000000" w:themeColor="text1"/>
          <w:sz w:val="24"/>
          <w:szCs w:val="24"/>
          <w:highlight w:val="none"/>
          <w14:textFill>
            <w14:solidFill>
              <w14:schemeClr w14:val="tx1"/>
            </w14:solidFill>
          </w14:textFill>
        </w:rPr>
        <w:t xml:space="preserve">中注明证明材料所在投标文件的页码位置，以方便评委查阅；斜体下划线为实质性要求，不满足作无效投标处理。</w:t>
      </w:r>
      <w:r/>
    </w:p>
    <w:p>
      <w:pPr>
        <w:pStyle w:val="1181"/>
        <w:ind w:firstLine="480"/>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cs="宋体"/>
          <w:b/>
          <w:bCs/>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．软件要求</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软件具备心电功能：具有心电记录功能，可将心电数据传输至服务器并经服务器传输至客户端进行展示和监测。</w:t>
      </w:r>
      <w:r/>
    </w:p>
    <w:p>
      <w:pPr>
        <w:pStyle w:val="1181"/>
        <w:ind w:firstLine="480"/>
        <w:keepLines w:val="0"/>
        <w:keepNext w:val="0"/>
        <w:pageBreakBefore w:val="0"/>
        <w:spacing w:line="520" w:lineRule="exact"/>
        <w:rPr>
          <w:rFonts w:hint="eastAsia"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软件具有自动分析功能：客户端软件具有集成静息心电检查模块、静息心电诊断模块、动态心电分析模块和心电事件提示模块。</w:t>
      </w:r>
      <w:r/>
    </w:p>
    <w:p>
      <w:pPr>
        <w:pStyle w:val="1181"/>
        <w:ind w:firstLine="480"/>
        <w:keepLines w:val="0"/>
        <w:keepNext w:val="0"/>
        <w:pageBreakBefore w:val="0"/>
        <w:spacing w:line="520" w:lineRule="exact"/>
        <w:rPr>
          <w:rFonts w:hint="eastAsia"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软件属于III类医疗器械产品。</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实时监测预警平台，支持AI急性心肌梗死预警。</w:t>
      </w:r>
      <w:r/>
    </w:p>
    <w:p>
      <w:pPr>
        <w:pStyle w:val="1181"/>
        <w:ind w:firstLine="482"/>
        <w:keepLines w:val="0"/>
        <w:keepNext w:val="0"/>
        <w:pageBreakBefore w:val="0"/>
        <w:spacing w:line="520" w:lineRule="exact"/>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（七）知识产权要求</w:t>
      </w:r>
      <w:r/>
    </w:p>
    <w:p>
      <w:pPr>
        <w:pStyle w:val="1181"/>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人保证所提供服务等涉及到的知识产权和所提供的软件、技术资料是合法取得，并享有完整的知识产权，不会因为采购人的使用而被责令停止使用、追偿或要求赔偿损失，如出现此情况，一切经济和法律责任均由中标人承担。</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保密要求</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人应对服务过程中知悉的商业秘密或患者个人信息等涉密信息均应严格保密。中标人对采购人安排的受检者所做的资料等信息不得向任何部门、第三方或社会公众披露。保密规定如有违反，采购人有权追究中标人相关法律责任。</w:t>
      </w:r>
      <w:r/>
    </w:p>
    <w:p>
      <w:pPr>
        <w:ind w:firstLine="482"/>
        <w:keepLines w:val="0"/>
        <w:keepNext w:val="0"/>
        <w:pageBreakBefore w:val="0"/>
        <w:spacing w:line="520" w:lineRule="exact"/>
        <w:widowControl w:val="off"/>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九</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服务人员要求</w:t>
      </w:r>
      <w:r/>
    </w:p>
    <w:p>
      <w:pPr>
        <w:ind w:firstLine="480"/>
        <w:jc w:val="left"/>
        <w:keepLines w:val="0"/>
        <w:keepNext w:val="0"/>
        <w:pageBreakBefore w:val="0"/>
        <w:spacing w:line="520" w:lineRule="exact"/>
        <w:widowControl w:val="off"/>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1．投标人的机构从业人员具有心电诊断专业资格。</w:t>
      </w:r>
      <w:r/>
    </w:p>
    <w:p>
      <w:pPr>
        <w:ind w:firstLine="480"/>
        <w:jc w:val="left"/>
        <w:keepLines w:val="0"/>
        <w:keepNext w:val="0"/>
        <w:pageBreakBefore w:val="0"/>
        <w:spacing w:line="520" w:lineRule="exact"/>
        <w:widowControl w:val="off"/>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2．投标人至少配备派遣驻场工作人员≥2名（投标时提供基本信息资料，包括姓名、年龄、职称），具有医学类相关背景。</w:t>
      </w:r>
      <w:r/>
    </w:p>
    <w:p>
      <w:pPr>
        <w:ind w:firstLine="480"/>
        <w:jc w:val="left"/>
        <w:keepLines w:val="0"/>
        <w:keepNext w:val="0"/>
        <w:pageBreakBefore w:val="0"/>
        <w:spacing w:line="520" w:lineRule="exact"/>
        <w:widowControl w:val="off"/>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3．驻场工作人员要求工作时间6×8小时。</w:t>
      </w:r>
      <w:r/>
    </w:p>
    <w:p>
      <w:pPr>
        <w:ind w:firstLine="480"/>
        <w:jc w:val="left"/>
        <w:keepLines w:val="0"/>
        <w:keepNext w:val="0"/>
        <w:pageBreakBefore w:val="0"/>
        <w:spacing w:line="520" w:lineRule="exact"/>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bidi="ar"/>
          <w14:textFill>
            <w14:solidFill>
              <w14:schemeClr w14:val="tx1"/>
            </w14:solidFill>
          </w14:textFill>
        </w:rPr>
        <w:t xml:space="preserve">4．驻场人员须遵守采购人的工作纪律要求和着装要求，在岗履行工作职责期间，发生自身的人身伤害、伤亡，均由中标人负责处理并承担经济和道义上的责任，采购人不承担任何责任。专职驻场工作人员的所有费用（包括工资、福利、培训、社会保险等）均由中标人负责。</w:t>
      </w:r>
      <w:r/>
    </w:p>
    <w:p>
      <w:pPr>
        <w:ind w:firstLine="482"/>
        <w:keepLines w:val="0"/>
        <w:keepNext w:val="0"/>
        <w:pageBreakBefore w:val="0"/>
        <w:spacing w:line="520" w:lineRule="exact"/>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维修响应</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投标</w:t>
      </w:r>
      <w:r>
        <w:rPr>
          <w:rFonts w:hint="eastAsia" w:ascii="宋体" w:hAnsi="宋体" w:eastAsia="宋体" w:cs="宋体"/>
          <w:color w:val="000000" w:themeColor="text1"/>
          <w:sz w:val="24"/>
          <w:szCs w:val="24"/>
          <w:highlight w:val="none"/>
          <w:lang w:bidi="ar"/>
          <w14:textFill>
            <w14:solidFill>
              <w14:schemeClr w14:val="tx1"/>
            </w14:solidFill>
          </w14:textFill>
        </w:rPr>
        <w:t xml:space="preserve">人在投标文件中提供应急联系电话，作为故障沟通专用渠道。</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硬件故障响应时间：7×24小时待命，解决时长不超过8小时。</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．软件故障响应时间：7×24小时待命，解决时长不超过8小时。</w:t>
      </w:r>
      <w:r/>
    </w:p>
    <w:p>
      <w:pPr>
        <w:ind w:firstLine="480"/>
        <w:jc w:val="left"/>
        <w:keepLines w:val="0"/>
        <w:keepNext w:val="0"/>
        <w:pageBreakBefore w:val="0"/>
        <w:spacing w:line="520" w:lineRule="exact"/>
        <w:widowControl/>
        <w:rPr>
          <w:rFonts w:hint="eastAsia" w:ascii="宋体" w:hAnsi="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故障分级响应与处理要求：</w:t>
      </w:r>
      <w:r/>
    </w:p>
    <w:p>
      <w:pPr>
        <w:ind w:firstLine="480"/>
        <w:jc w:val="left"/>
        <w:keepLines w:val="0"/>
        <w:keepNext w:val="0"/>
        <w:pageBreakBefore w:val="0"/>
        <w:spacing w:line="520" w:lineRule="exact"/>
        <w:widowControl/>
        <w:rPr>
          <w:rFonts w:hint="eastAsia" w:ascii="宋体" w:hAnsi="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（1）中标人接到故障通知（如设备离线、数据传输中断、波形异常等）后，1小时内须通过电话、远程运维系统完成首次响应，同步初步判断故障类型（硬件问题、网络问题、软件bug等）。</w:t>
      </w:r>
      <w:r/>
    </w:p>
    <w:p>
      <w:pPr>
        <w:ind w:firstLine="480"/>
        <w:jc w:val="left"/>
        <w:keepLines w:val="0"/>
        <w:keepNext w:val="0"/>
        <w:pageBreakBefore w:val="0"/>
        <w:spacing w:line="520" w:lineRule="exact"/>
        <w:widowControl/>
        <w:rPr>
          <w:rFonts w:hint="eastAsia" w:ascii="宋体" w:hAnsi="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（2）若为软件或网络配置类故障，2小时内通过远程调试完成修复，确保心电数据实时传输功能恢复；远程无法解决时，立即启动现场维修流程，故障需在8小时内解决。</w:t>
      </w:r>
      <w:r/>
    </w:p>
    <w:p>
      <w:pPr>
        <w:ind w:firstLine="480"/>
        <w:jc w:val="left"/>
        <w:keepLines w:val="0"/>
        <w:keepNext w:val="0"/>
        <w:pageBreakBefore w:val="0"/>
        <w:spacing w:line="520" w:lineRule="exact"/>
        <w:widowControl/>
        <w:rPr>
          <w:rFonts w:hint="eastAsia" w:ascii="宋体" w:hAnsi="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（3）若8小时内无法修复，须立即提供备用设备，备用设备的调试、联网与数据对接等由中标人负责。</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（4）未按上述要求处理导致的全部损失，由中标人承担。</w:t>
      </w:r>
      <w:r/>
    </w:p>
    <w:p>
      <w:pPr>
        <w:ind w:firstLine="482"/>
        <w:keepLines w:val="0"/>
        <w:keepNext w:val="0"/>
        <w:pageBreakBefore w:val="0"/>
        <w:spacing w:line="520" w:lineRule="exact"/>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十一</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报价要求</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lang w:eastAsia="zh-CN" w:bidi="ar"/>
          <w14:textFill>
            <w14:solidFill>
              <w14:schemeClr w14:val="tx1"/>
            </w14:solidFill>
          </w14:textFill>
        </w:rPr>
        <w:t xml:space="preserve">本次报价采用优惠率报价。例如：投标人以3</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i/>
          <w:iCs/>
          <w:color w:val="000000" w:themeColor="text1"/>
          <w:sz w:val="24"/>
          <w:szCs w:val="24"/>
          <w:highlight w:val="none"/>
          <w:u w:val="single"/>
          <w:lang w:eastAsia="zh-CN" w:bidi="ar"/>
          <w14:textFill>
            <w14:solidFill>
              <w14:schemeClr w14:val="tx1"/>
            </w14:solidFill>
          </w14:textFill>
        </w:rPr>
        <w:t xml:space="preserve">%优惠率报价本项目，直接在报价栏中填报3</w:t>
      </w:r>
      <w:r>
        <w:rPr>
          <w:rFonts w:hint="eastAsia" w:ascii="宋体" w:hAnsi="宋体" w:eastAsia="宋体" w:cs="宋体"/>
          <w:i/>
          <w:iCs/>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i/>
          <w:iCs/>
          <w:color w:val="000000" w:themeColor="text1"/>
          <w:sz w:val="24"/>
          <w:szCs w:val="24"/>
          <w:highlight w:val="none"/>
          <w:u w:val="single"/>
          <w:lang w:eastAsia="zh-CN" w:bidi="ar"/>
          <w14:textFill>
            <w14:solidFill>
              <w14:schemeClr w14:val="tx1"/>
            </w14:solidFill>
          </w14:textFill>
        </w:rPr>
        <w:t xml:space="preserve">即可。如投标人投标优惠率为3</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i/>
          <w:iCs/>
          <w:color w:val="000000" w:themeColor="text1"/>
          <w:sz w:val="24"/>
          <w:szCs w:val="24"/>
          <w:highlight w:val="none"/>
          <w:u w:val="single"/>
          <w:lang w:eastAsia="zh-CN" w:bidi="ar"/>
          <w14:textFill>
            <w14:solidFill>
              <w14:schemeClr w14:val="tx1"/>
            </w14:solidFill>
          </w14:textFill>
        </w:rPr>
        <w:t xml:space="preserve">%，即中标后按招标文件中的项目收费标准*（1-3</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i/>
          <w:iCs/>
          <w:color w:val="000000" w:themeColor="text1"/>
          <w:sz w:val="24"/>
          <w:szCs w:val="24"/>
          <w:highlight w:val="none"/>
          <w:u w:val="single"/>
          <w:lang w:eastAsia="zh-CN" w:bidi="ar"/>
          <w14:textFill>
            <w14:solidFill>
              <w14:schemeClr w14:val="tx1"/>
            </w14:solidFill>
          </w14:textFill>
        </w:rPr>
        <w:t xml:space="preserve">%）的价格执行。</w:t>
      </w:r>
      <w:r/>
    </w:p>
    <w:p>
      <w:pPr>
        <w:ind w:firstLine="480"/>
        <w:jc w:val="left"/>
        <w:keepLines w:val="0"/>
        <w:keepNext w:val="0"/>
        <w:pageBreakBefore w:val="0"/>
        <w:spacing w:line="520" w:lineRule="exact"/>
        <w:widowControl/>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lang w:eastAsia="zh-CN" w:bidi="ar"/>
          <w14:textFill>
            <w14:solidFill>
              <w14:schemeClr w14:val="tx1"/>
            </w14:solidFill>
          </w14:textFill>
        </w:rPr>
        <w:t xml:space="preserve">本次招标项目投标优惠率≥38%，否则视为无效报价</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w:t>
      </w:r>
      <w:r/>
    </w:p>
    <w:p>
      <w:pPr>
        <w:pStyle w:val="1182"/>
        <w:ind w:firstLine="480"/>
        <w:keepLines w:val="0"/>
        <w:keepNext w:val="0"/>
        <w:pageBreakBefore w:val="0"/>
        <w:spacing w:line="520" w:lineRule="exact"/>
        <w:rPr>
          <w:rFonts w:hint="eastAsia" w:eastAsia="宋体"/>
          <w:color w:val="000000" w:themeColor="text1"/>
          <w:highlight w:val="none"/>
          <w:lang w:val="en-US" w:eastAsia="zh-CN"/>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3.两年总金额200万元不变的情况下，如第一年度服务费未达到 ，可累积到第二年度。</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投标优惠率报价应包括但不限于人员费用（工资、福利、培训、社会保险等）、服务所用设备工具购置及维修费用、服务所用材料消耗费用、管理费用、差旅费</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利润、税金、政策性文件规定及合同包含的所有风险、责任等各项应有费用</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ind w:firstLine="482"/>
        <w:keepLines w:val="0"/>
        <w:keepNext w:val="0"/>
        <w:pageBreakBefore w:val="0"/>
        <w:spacing w:line="520" w:lineRule="exact"/>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十二</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其他要求</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投标人应对项目总体认识全面深刻，对本项目工作把握准确，有较强的系统性，工作思路清晰顺畅、工作标准全面，为本项目制定详细的实施方案。</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．投标人应根据项目的实际情况，制定管理制度，包括组织架构、各岗位人员的职责分工以及人员管理机制、项目制度及职责。</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标人应根据自身单位实际情况，做出针对本项目的安全管理方案、建立安全管理制度，定期进行安全管理培训，严格执行定期检查制度，严禁整个服务项目带病运行，把一些风险和安全隐患扼杀在萌芽状态。需提供使用情况和定期提供相应的小结以供备案。</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制定技术实施方案及协调方案，包括程序、现场支援服务、软硬件故障报告及故障预防处理措施、资料档案管理、服务监督管理机制等。以便在发生重大问题时能第一时间找到相对应的负责人，及时检查、监督、保障项目正常运行，发现问题及时整改处理。</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标人应根据项目的实际情况，制定应急预案，包括应急处理措施，用于指导或者紧急处理整个服务项目中出现软硬件故障时的处理、抢修、恢复等等全过程的应急方案，能在突发性的故障时，能最大限度的减少此项目突发性故障而带来的影响和损失，使对病人救治造成的影响程度降至最低。应急预案应包括应急程序、应急处理方案（应第一时间处理，相关人员应当及时向采购人相关管理部门报告情况）等。</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．投标人可提供类似项目业绩、相关证书或相关奖项。</w:t>
      </w:r>
      <w:r/>
    </w:p>
    <w:p>
      <w:pPr>
        <w:keepLines w:val="0"/>
        <w:keepNext w:val="0"/>
        <w:pageBreakBefore w:val="0"/>
        <w:spacing w:line="520" w:lineRule="exact"/>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106" w:name="_Toc31104"/>
      <w:r>
        <w:rPr>
          <w:rFonts w:hint="eastAsia" w:ascii="宋体" w:hAnsi="宋体" w:eastAsia="宋体" w:cs="宋体"/>
          <w:b/>
          <w:color w:val="000000" w:themeColor="text1"/>
          <w:spacing w:val="0"/>
          <w:sz w:val="28"/>
          <w:szCs w:val="28"/>
          <w:highlight w:val="none"/>
          <w14:textFill>
            <w14:solidFill>
              <w14:schemeClr w14:val="tx1"/>
            </w14:solidFill>
          </w14:textFill>
        </w:rPr>
        <w:t xml:space="preserve">三、商务条款</w:t>
      </w:r>
      <w:bookmarkEnd w:id="106"/>
      <w:r/>
      <w:r/>
    </w:p>
    <w:p>
      <w:pPr>
        <w:pStyle w:val="1374"/>
        <w:ind w:firstLine="482"/>
        <w:keepLines w:val="0"/>
        <w:keepNext w:val="0"/>
        <w:pageBreakBefore w:val="0"/>
        <w:spacing w:line="520" w:lineRule="exact"/>
        <w:widowControl/>
        <w:rPr>
          <w:rStyle w:val="1352"/>
          <w:rFonts w:hint="eastAsia" w:ascii="宋体" w:hAnsi="宋体" w:eastAsia="宋体" w:cs="宋体"/>
          <w:b/>
          <w:color w:val="000000" w:themeColor="text1"/>
          <w:spacing w:val="0"/>
          <w:sz w:val="24"/>
          <w:szCs w:val="24"/>
          <w:highlight w:val="none"/>
          <w:lang w:val="en-US"/>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一</w:t>
      </w: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14:textFill>
            <w14:solidFill>
              <w14:schemeClr w14:val="tx1"/>
            </w14:solidFill>
          </w14:textFill>
        </w:rPr>
        <w:t xml:space="preserve">服务期限</w:t>
      </w:r>
      <w:r>
        <w:rPr>
          <w:rStyle w:val="1352"/>
          <w:rFonts w:hint="eastAsia" w:ascii="宋体" w:hAnsi="宋体" w:eastAsia="宋体" w:cs="宋体"/>
          <w:b/>
          <w:bCs/>
          <w:color w:val="000000" w:themeColor="text1"/>
          <w:spacing w:val="0"/>
          <w:sz w:val="24"/>
          <w:szCs w:val="24"/>
          <w:highlight w:val="none"/>
          <w:lang w:val="en-US"/>
          <w14:textFill>
            <w14:solidFill>
              <w14:schemeClr w14:val="tx1"/>
            </w14:solidFill>
          </w14:textFill>
        </w:rPr>
        <w:t xml:space="preserve">及服务地点</w:t>
      </w:r>
      <w:r/>
    </w:p>
    <w:p>
      <w:pPr>
        <w:ind w:firstLine="480"/>
        <w:keepLines w:val="0"/>
        <w:keepNext w:val="0"/>
        <w:pageBreakBefore w:val="0"/>
        <w:spacing w:line="520" w:lineRule="exact"/>
        <w:shd w:val="clear" w:color="auto" w:fill="auto"/>
        <w:widowControl/>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outlineLvl w:val="9"/>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1．服务期限</w:t>
      </w:r>
      <w:r/>
    </w:p>
    <w:p>
      <w:pPr>
        <w:ind w:firstLine="480"/>
        <w:keepLines w:val="0"/>
        <w:keepNext w:val="0"/>
        <w:pageBreakBefore w:val="0"/>
        <w:spacing w:line="520" w:lineRule="exact"/>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24"/>
          <w:highlight w:val="none"/>
          <w:u w:val="single"/>
          <w:lang w:val="en-US" w:eastAsia="zh-CN"/>
          <w14:textFill>
            <w14:solidFill>
              <w14:schemeClr w14:val="tx1"/>
            </w14:solidFill>
          </w14:textFill>
        </w:rPr>
        <w:t xml:space="preserve">自合同签订之日起二年</w:t>
      </w:r>
      <w:r>
        <w:rPr>
          <w:rFonts w:hint="eastAsia" w:ascii="宋体" w:hAnsi="宋体" w:cs="宋体"/>
          <w:i/>
          <w:iCs/>
          <w:color w:val="000000" w:themeColor="text1"/>
          <w:spacing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若</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年度实际发生金额超过</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预算总金额，则</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中标单位不得停止服务，</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最终</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年度结算总金额仍为</w:t>
      </w: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预算总金额。</w:t>
      </w:r>
      <w:r>
        <w:rPr>
          <w:rFonts w:hint="eastAsia" w:ascii="宋体" w:hAnsi="宋体" w:cs="宋体"/>
          <w:i/>
          <w:iCs/>
          <w:color w:val="000000" w:themeColor="text1"/>
          <w:spacing w:val="0"/>
          <w:sz w:val="24"/>
          <w:szCs w:val="24"/>
          <w:highlight w:val="none"/>
          <w:u w:val="single"/>
          <w:lang w:val="en-US" w:eastAsia="zh-CN"/>
          <w14:textFill>
            <w14:solidFill>
              <w14:schemeClr w14:val="tx1"/>
            </w14:solidFill>
          </w14:textFill>
        </w:rPr>
        <w:t xml:space="preserve">第二年</w:t>
      </w:r>
      <w:r>
        <w:rPr>
          <w:rFonts w:hint="eastAsia" w:ascii="宋体" w:hAnsi="宋体" w:eastAsia="宋体" w:cs="宋体"/>
          <w:i/>
          <w:iCs/>
          <w:color w:val="000000" w:themeColor="text1"/>
          <w:spacing w:val="0"/>
          <w:sz w:val="24"/>
          <w:szCs w:val="24"/>
          <w:highlight w:val="none"/>
          <w:u w:val="single"/>
          <w:lang w:val="en-US" w:eastAsia="zh-CN"/>
          <w14:textFill>
            <w14:solidFill>
              <w14:schemeClr w14:val="tx1"/>
            </w14:solidFill>
          </w14:textFill>
        </w:rPr>
        <w:t xml:space="preserve">以先达到合同时间或金额截止）。</w:t>
      </w:r>
      <w:r>
        <w:rPr>
          <w:rFonts w:hint="eastAsia" w:ascii="宋体" w:hAnsi="宋体" w:cs="宋体"/>
          <w:i/>
          <w:iCs/>
          <w:color w:val="000000" w:themeColor="text1"/>
          <w:spacing w:val="0"/>
          <w:sz w:val="24"/>
          <w:szCs w:val="24"/>
          <w:highlight w:val="none"/>
          <w:u w:val="single"/>
          <w:lang w:val="en-US" w:eastAsia="zh-CN"/>
          <w14:textFill>
            <w14:solidFill>
              <w14:schemeClr w14:val="tx1"/>
            </w14:solidFill>
          </w14:textFill>
        </w:rPr>
        <w:t xml:space="preserve">（合同一年一签，根据考核结果续签合同，具体以合同签订时间为准）</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。其中拟投入服务的主要设备及配套软件在采购人通知后30个工作日内完成安装调试、培训等工作，达到提供服务的标准。</w:t>
      </w:r>
      <w:r/>
    </w:p>
    <w:p>
      <w:pPr>
        <w:ind w:firstLine="480"/>
        <w:keepLines w:val="0"/>
        <w:keepNext w:val="0"/>
        <w:pageBreakBefore w:val="0"/>
        <w:spacing w:line="520" w:lineRule="exact"/>
        <w:shd w:val="clear" w:color="auto" w:fill="auto"/>
        <w:widowControl/>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outlineLvl w:val="9"/>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2．服务地点</w:t>
      </w:r>
      <w:r/>
    </w:p>
    <w:p>
      <w:pPr>
        <w:ind w:firstLine="480"/>
        <w:keepLines w:val="0"/>
        <w:keepNext w:val="0"/>
        <w:pageBreakBefore w:val="0"/>
        <w:spacing w:line="520" w:lineRule="exact"/>
        <w:shd w:val="clear" w:color="auto" w:fill="auto"/>
        <w:widowControl/>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outlineLvl w:val="9"/>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采购人指定的地点。</w:t>
      </w:r>
      <w:r/>
    </w:p>
    <w:p>
      <w:pPr>
        <w:ind w:firstLine="482"/>
        <w:keepLines w:val="0"/>
        <w:keepNext w:val="0"/>
        <w:pageBreakBefore w:val="0"/>
        <w:spacing w:line="520" w:lineRule="exact"/>
        <w:shd w:val="clear" w:color="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（二）售后服务</w:t>
      </w:r>
      <w:r/>
    </w:p>
    <w:p>
      <w:pPr>
        <w:ind w:firstLine="482"/>
        <w:keepLines w:val="0"/>
        <w:keepNext w:val="0"/>
        <w:pageBreakBefore w:val="0"/>
        <w:spacing w:line="520" w:lineRule="exact"/>
        <w:shd w:val="clear" w:color="auto"/>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t xml:space="preserve">1．中标人为本项目制定培训方案，包括但不仅限于培训步骤、培训计划、培训内容等。中标人派工程师到甲方指定地点负责设备及配套软件的安装、培训工作，免费提供现场培训及相关技术咨询，直到操作者能熟练完成操作。培训内容应包括技术原理、操作、日常基本维护与保养，使参加培训的人员能独立使用，同时能独立处理常见性的故障。</w:t>
      </w:r>
      <w:r/>
    </w:p>
    <w:p>
      <w:pPr>
        <w:ind w:firstLine="482"/>
        <w:keepLines w:val="0"/>
        <w:keepNext w:val="0"/>
        <w:pageBreakBefore w:val="0"/>
        <w:spacing w:line="520" w:lineRule="exact"/>
        <w:shd w:val="clear" w:color="auto"/>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t xml:space="preserve">2．中标人定期进行质量跟踪服务，了解系统的使用情况。</w:t>
      </w:r>
      <w:r/>
    </w:p>
    <w:p>
      <w:pPr>
        <w:ind w:firstLine="482"/>
        <w:keepLines w:val="0"/>
        <w:keepNext w:val="0"/>
        <w:pageBreakBefore w:val="0"/>
        <w:spacing w:line="520" w:lineRule="exact"/>
        <w:shd w:val="clear" w:color="auto"/>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t xml:space="preserve">3．中标人的服务工程师不定期进行回访，及时为用户提供满意服务。</w:t>
      </w:r>
      <w:r/>
    </w:p>
    <w:p>
      <w:pPr>
        <w:ind w:firstLine="482"/>
        <w:keepLines w:val="0"/>
        <w:keepNext w:val="0"/>
        <w:pageBreakBefore w:val="0"/>
        <w:spacing w:line="520" w:lineRule="exact"/>
        <w:shd w:val="clear" w:color="auto"/>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bidi="ar-SA"/>
          <w14:textFill>
            <w14:solidFill>
              <w14:schemeClr w14:val="tx1"/>
            </w14:solidFill>
          </w14:textFill>
        </w:rPr>
        <w:t xml:space="preserve">4．中标人对系统及时升级维护及补丁升级，确保系统使用安全。</w:t>
      </w:r>
      <w:r/>
    </w:p>
    <w:p>
      <w:pPr>
        <w:pStyle w:val="1374"/>
        <w:ind w:firstLine="482"/>
        <w:keepLines w:val="0"/>
        <w:keepNext w:val="0"/>
        <w:pageBreakBefore w:val="0"/>
        <w:spacing w:line="520" w:lineRule="exact"/>
        <w:rPr>
          <w:rStyle w:val="1352"/>
          <w:rFonts w:hint="eastAsia" w:ascii="宋体" w:hAnsi="宋体" w:eastAsia="宋体" w:cs="宋体"/>
          <w:b/>
          <w:color w:val="000000" w:themeColor="text1"/>
          <w:spacing w:val="0"/>
          <w:sz w:val="24"/>
          <w:szCs w:val="24"/>
          <w:highlight w:val="none"/>
          <w:lang w:val="en-US"/>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三</w:t>
      </w:r>
      <w:r>
        <w:rPr>
          <w:rStyle w:val="1352"/>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支付</w:t>
      </w:r>
      <w:r>
        <w:rPr>
          <w:rStyle w:val="1352"/>
          <w:rFonts w:hint="eastAsia" w:ascii="宋体" w:hAnsi="宋体" w:eastAsia="宋体" w:cs="宋体"/>
          <w:b/>
          <w:color w:val="000000" w:themeColor="text1"/>
          <w:spacing w:val="0"/>
          <w:sz w:val="24"/>
          <w:szCs w:val="24"/>
          <w:highlight w:val="none"/>
          <w:lang w:val="en-US"/>
          <w14:textFill>
            <w14:solidFill>
              <w14:schemeClr w14:val="tx1"/>
            </w14:solidFill>
          </w14:textFill>
        </w:rPr>
        <w:t xml:space="preserve">方式</w:t>
      </w:r>
      <w:r/>
    </w:p>
    <w:p>
      <w:pPr>
        <w:pStyle w:val="1374"/>
        <w:ind w:firstLine="480"/>
        <w:keepLines w:val="0"/>
        <w:keepNext w:val="0"/>
        <w:pageBreakBefore w:val="0"/>
        <w:spacing w:line="520" w:lineRule="exact"/>
        <w:rPr>
          <w:rFonts w:hint="default"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i w:val="0"/>
          <w:iCs w:val="0"/>
          <w:caps w:val="0"/>
          <w:smallCaps w:val="0"/>
          <w:color w:val="000000" w:themeColor="text1"/>
          <w:spacing w:val="0"/>
          <w:sz w:val="24"/>
          <w:szCs w:val="22"/>
          <w:highlight w:val="none"/>
          <w:u w:val="none"/>
          <w:shd w:val="clear" w:color="auto" w:fill="auto"/>
          <w:lang w:val="en-US" w:eastAsia="zh-CN" w:bidi="ar-SA"/>
          <w14:textFill>
            <w14:solidFill>
              <w14:schemeClr w14:val="tx1"/>
            </w14:solidFill>
          </w14:textFill>
        </w:rPr>
        <w:t xml:space="preserve">1．</w:t>
      </w:r>
      <w:r>
        <w:rPr>
          <w:rStyle w:val="1352"/>
          <w:rFonts w:hint="eastAsia" w:ascii="宋体" w:hAnsi="宋体" w:eastAsia="宋体" w:cs="宋体"/>
          <w:i w:val="0"/>
          <w:iCs w:val="0"/>
          <w:strike w:val="0"/>
          <w:color w:val="000000" w:themeColor="text1"/>
          <w:spacing w:val="0"/>
          <w:sz w:val="24"/>
          <w:szCs w:val="24"/>
          <w:highlight w:val="none"/>
          <w:u w:val="none"/>
          <w:lang w:val="en-US" w:eastAsia="zh-CN" w:bidi="ar-SA"/>
          <w14:textFill>
            <w14:solidFill>
              <w14:schemeClr w14:val="tx1"/>
            </w14:solidFill>
          </w14:textFill>
        </w:rPr>
        <w:t xml:space="preserve">张家港市第一人民医院支付方式</w:t>
      </w:r>
      <w:r/>
    </w:p>
    <w:p>
      <w:pPr>
        <w:pStyle w:val="1374"/>
        <w:ind w:firstLine="480"/>
        <w:keepLines w:val="0"/>
        <w:keepNext w:val="0"/>
        <w:pageBreakBefore w:val="0"/>
        <w:spacing w:line="520" w:lineRule="exact"/>
        <w:rPr>
          <w:rStyle w:val="1352"/>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w:t>
      </w:r>
      <w:r>
        <w:rPr>
          <w:rStyle w:val="1352"/>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 xml:space="preserve">结付程序</w:t>
      </w:r>
      <w:r/>
    </w:p>
    <w:p>
      <w:pPr>
        <w:pStyle w:val="1374"/>
        <w:ind w:firstLine="480"/>
        <w:keepLines w:val="0"/>
        <w:keepNext w:val="0"/>
        <w:pageBreakBefore w:val="0"/>
        <w:spacing w:line="520" w:lineRule="exact"/>
        <w:rPr>
          <w:rStyle w:val="1352"/>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 xml:space="preserve">中标人按本合同内容合格地履行服务义务后，凭服务清单明细、销售发票、合同到采购单位办理合同款的结算手续。</w:t>
      </w:r>
      <w:r/>
    </w:p>
    <w:p>
      <w:pPr>
        <w:pStyle w:val="1374"/>
        <w:ind w:firstLine="480"/>
        <w:keepLines w:val="0"/>
        <w:keepNext w:val="0"/>
        <w:pageBreakBefore w:val="0"/>
        <w:spacing w:line="520" w:lineRule="exact"/>
        <w:rPr>
          <w:rStyle w:val="1352"/>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w:t>
      </w:r>
      <w:r>
        <w:rPr>
          <w:rStyle w:val="1352"/>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 xml:space="preserve">结付期限</w:t>
      </w:r>
      <w:r/>
    </w:p>
    <w:p>
      <w:pPr>
        <w:pStyle w:val="1374"/>
        <w:ind w:firstLine="480"/>
        <w:keepLines w:val="0"/>
        <w:keepNext w:val="0"/>
        <w:pageBreakBefore w:val="0"/>
        <w:spacing w:line="520" w:lineRule="exact"/>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t xml:space="preserve">①合同签订生效后，采购人支付合同金额的10%作为预付款，如在签订合同时，中标人明确表示无需预付款或者主动要求降低预付款比例的，采购人可不适用上述关于预付款的规定。</w:t>
      </w:r>
      <w:r/>
    </w:p>
    <w:p>
      <w:pPr>
        <w:pStyle w:val="1374"/>
        <w:ind w:firstLine="480"/>
        <w:keepLines w:val="0"/>
        <w:keepNext w:val="0"/>
        <w:pageBreakBefore w:val="0"/>
        <w:spacing w:line="520" w:lineRule="exact"/>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t xml:space="preserve">②合同期内服务费按季度结算的方式进行（因考核、检查后有失分，实际支付额与基准价格存在差异）。结算价格为实际检查数量*项目收费标准*（1-中标优惠率）。中标人提供每个月的心电检查项目的数量服务明细表，由采购人和中标人共同核对，以季度完整签名的服务明细表为结算依据。合同执行后第2个季度支付第1季度的服务费用，第3季度支付第2季度的服务费用，依次类推直至结算完成。</w:t>
      </w:r>
      <w:r/>
    </w:p>
    <w:p>
      <w:pPr>
        <w:pStyle w:val="1374"/>
        <w:ind w:firstLine="480"/>
        <w:keepLines w:val="0"/>
        <w:keepNext w:val="0"/>
        <w:pageBreakBefore w:val="0"/>
        <w:spacing w:line="520" w:lineRule="exact"/>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t xml:space="preserve">③采购人根据月度考核分核算服务费的发放：对中标人的服务实行月度考核，月得分在90分及以上全额支付当月服务费用，低于90分，每低一分扣除中标人3%当月服务费用，扣款在当月服务费中直接扣除，最后一次结算时采购人一并退还履约保证金。</w:t>
      </w:r>
      <w:r/>
    </w:p>
    <w:p>
      <w:pPr>
        <w:pStyle w:val="1374"/>
        <w:ind w:firstLine="480"/>
        <w:keepLines w:val="0"/>
        <w:keepNext w:val="0"/>
        <w:pageBreakBefore w:val="0"/>
        <w:spacing w:line="520" w:lineRule="exact"/>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t xml:space="preserve">④中标人应每月召开一次质控会，对考核中存在问题进行持续质量改进，并以书面形式向采购人反馈整改措施及效果；一年累计有三个月考核得分低于70分，视为中标人不符合采购人考核要求，采购人有权依法解除合同。</w:t>
      </w:r>
      <w:r/>
    </w:p>
    <w:p>
      <w:pPr>
        <w:pStyle w:val="1374"/>
        <w:ind w:firstLine="480"/>
        <w:keepLines w:val="0"/>
        <w:keepNext w:val="0"/>
        <w:pageBreakBefore w:val="0"/>
        <w:spacing w:line="520" w:lineRule="exact"/>
        <w:rPr>
          <w:rStyle w:val="1352"/>
          <w:rFonts w:hint="default" w:ascii="宋体" w:hAnsi="宋体" w:eastAsia="宋体" w:cs="宋体"/>
          <w:i w:val="0"/>
          <w:iCs w:val="0"/>
          <w:strike w:val="0"/>
          <w:color w:val="000000" w:themeColor="text1"/>
          <w:spacing w:val="0"/>
          <w:sz w:val="24"/>
          <w:szCs w:val="24"/>
          <w:highlight w:val="none"/>
          <w:u w:val="none"/>
          <w:lang w:val="en-US" w:eastAsia="zh-CN" w:bidi="ar-SA"/>
          <w14:textFill>
            <w14:solidFill>
              <w14:schemeClr w14:val="tx1"/>
            </w14:solidFill>
          </w14:textFill>
        </w:rPr>
      </w:pPr>
      <w:r>
        <w:rPr>
          <w:rFonts w:hint="eastAsia" w:ascii="宋体" w:hAnsi="宋体" w:eastAsia="宋体" w:cs="宋体"/>
          <w:b w:val="0"/>
          <w:i w:val="0"/>
          <w:iCs w:val="0"/>
          <w:caps w:val="0"/>
          <w:smallCaps w:val="0"/>
          <w:color w:val="000000" w:themeColor="text1"/>
          <w:spacing w:val="0"/>
          <w:sz w:val="24"/>
          <w:szCs w:val="22"/>
          <w:highlight w:val="none"/>
          <w:u w:val="none"/>
          <w:shd w:val="clear" w:color="auto" w:fill="auto"/>
          <w:lang w:val="en-US" w:eastAsia="zh-CN" w:bidi="ar-SA"/>
          <w14:textFill>
            <w14:solidFill>
              <w14:schemeClr w14:val="tx1"/>
            </w14:solidFill>
          </w14:textFill>
        </w:rPr>
        <w:t xml:space="preserve">2．医共体、医联体单位支付方式</w:t>
      </w:r>
      <w:r/>
    </w:p>
    <w:p>
      <w:pPr>
        <w:pStyle w:val="1374"/>
        <w:ind w:firstLine="480"/>
        <w:keepLines w:val="0"/>
        <w:keepNext w:val="0"/>
        <w:pageBreakBefore w:val="0"/>
        <w:spacing w:line="520" w:lineRule="exact"/>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t xml:space="preserve">（1）张家港市第一人民医院和相关各医共体、医联体单位使用该心电平台和心电设备向患者开展心电医疗服务，根据相关收费价格标准向患者收取费用，并按收费价格的中标优惠率向中标方支付技术服务费及运营费用；张家港市第一人民医院相关各医共体、医联体单位若需使用张家港市第一人民医院的心电诊断服务，则向张家港市第一人民医院支付收费价格8%的服务费；三方按实际检查人次结算，每季度结算一次。</w:t>
      </w:r>
      <w:r/>
    </w:p>
    <w:p>
      <w:pPr>
        <w:pStyle w:val="1374"/>
        <w:ind w:firstLine="480"/>
        <w:keepLines w:val="0"/>
        <w:keepNext w:val="0"/>
        <w:pageBreakBefore w:val="0"/>
        <w:spacing w:line="520" w:lineRule="exact"/>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pPr>
      <w:r>
        <w:rPr>
          <w:rStyle w:val="1352"/>
          <w:rFonts w:hint="eastAsia" w:ascii="宋体" w:hAnsi="宋体" w:eastAsia="宋体" w:cs="宋体"/>
          <w:i/>
          <w:iCs/>
          <w:strike w:val="0"/>
          <w:color w:val="000000" w:themeColor="text1"/>
          <w:spacing w:val="0"/>
          <w:sz w:val="24"/>
          <w:szCs w:val="24"/>
          <w:highlight w:val="none"/>
          <w:u w:val="single"/>
          <w:lang w:val="en-US" w:eastAsia="zh-CN" w:bidi="ar-SA"/>
          <w14:textFill>
            <w14:solidFill>
              <w14:schemeClr w14:val="tx1"/>
            </w14:solidFill>
          </w14:textFill>
        </w:rPr>
        <w:t xml:space="preserve">（2）签约方式：张家港市第一人民医院相关各医共体、医联体单位可以与中标方基于此要求分别签署合同；亦可和张家港市第一人民医院联合与中标方签署三方合同。</w:t>
      </w:r>
      <w:r/>
    </w:p>
    <w:p>
      <w:pPr>
        <w:pStyle w:val="1374"/>
        <w:ind w:firstLine="482"/>
        <w:keepLines w:val="0"/>
        <w:keepNext w:val="0"/>
        <w:pageBreakBefore w:val="0"/>
        <w:spacing w:line="520" w:lineRule="exact"/>
        <w:rPr>
          <w:rStyle w:val="1352"/>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四</w:t>
      </w:r>
      <w:r>
        <w:rPr>
          <w:rStyle w:val="1352"/>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投标货币</w:t>
      </w:r>
      <w:r/>
    </w:p>
    <w:p>
      <w:pPr>
        <w:pStyle w:val="1374"/>
        <w:ind w:firstLine="480"/>
        <w:keepLines w:val="0"/>
        <w:keepNext w:val="0"/>
        <w:pageBreakBefore w:val="0"/>
        <w:spacing w:line="520" w:lineRule="exact"/>
        <w:rPr>
          <w:rStyle w:val="1352"/>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1352"/>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人民币。</w:t>
      </w:r>
      <w:r/>
    </w:p>
    <w:p>
      <w:pPr>
        <w:ind w:firstLine="482"/>
        <w:keepLines w:val="0"/>
        <w:keepNext w:val="0"/>
        <w:pageBreakBefore w:val="0"/>
        <w:spacing w:line="520" w:lineRule="exact"/>
        <w:shd w:val="clear" w:color="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（五）备品备件及耗材等要求</w:t>
      </w:r>
      <w:r/>
    </w:p>
    <w:p>
      <w:pPr>
        <w:pStyle w:val="1374"/>
        <w:ind w:firstLine="480"/>
        <w:keepLines w:val="0"/>
        <w:keepNext w:val="0"/>
        <w:pageBreakBefore w:val="0"/>
        <w:spacing w:line="520" w:lineRule="exact"/>
        <w:rPr>
          <w:rStyle w:val="1352"/>
          <w:rFonts w:hint="eastAsia" w:ascii="宋体" w:hAnsi="宋体" w:eastAsia="宋体" w:cs="宋体"/>
          <w:i/>
          <w:color w:val="000000" w:themeColor="text1"/>
          <w:spacing w:val="0"/>
          <w:sz w:val="24"/>
          <w:szCs w:val="24"/>
          <w:highlight w:val="none"/>
          <w:u w:val="single"/>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无。</w:t>
      </w:r>
      <w:r/>
    </w:p>
    <w:p>
      <w:pPr>
        <w:keepLines w:val="0"/>
        <w:keepNext w:val="0"/>
        <w:pageBreakBefore w:val="0"/>
        <w:spacing w:line="520" w:lineRule="exact"/>
        <w:rPr>
          <w:rFonts w:hint="eastAsia" w:ascii="宋体" w:hAnsi="宋体" w:eastAsia="宋体" w:cs="宋体"/>
          <w:b/>
          <w:color w:val="000000" w:themeColor="text1"/>
          <w:spacing w:val="0"/>
          <w:sz w:val="30"/>
          <w:szCs w:val="30"/>
          <w:highlight w:val="none"/>
          <w14:textFill>
            <w14:solidFill>
              <w14:schemeClr w14:val="tx1"/>
            </w14:solidFill>
          </w14:textFill>
        </w:rPr>
        <w:outlineLvl w:val="1"/>
      </w:pPr>
      <w:r/>
      <w:bookmarkStart w:id="107" w:name="_Toc2587"/>
      <w:r>
        <w:rPr>
          <w:rFonts w:hint="eastAsia" w:ascii="宋体" w:hAnsi="宋体" w:eastAsia="宋体" w:cs="宋体"/>
          <w:b/>
          <w:color w:val="000000" w:themeColor="text1"/>
          <w:spacing w:val="0"/>
          <w:sz w:val="28"/>
          <w:szCs w:val="28"/>
          <w:highlight w:val="none"/>
          <w14:textFill>
            <w14:solidFill>
              <w14:schemeClr w14:val="tx1"/>
            </w14:solidFill>
          </w14:textFill>
        </w:rPr>
        <w:t xml:space="preserve">四、其他部分</w:t>
      </w:r>
      <w:bookmarkEnd w:id="107"/>
      <w:r/>
      <w:r/>
    </w:p>
    <w:p>
      <w:pPr>
        <w:pStyle w:val="1423"/>
        <w:jc w:val="center"/>
        <w:keepLines w:val="0"/>
        <w:keepNext w:val="0"/>
        <w:pageBreakBefore w:val="0"/>
        <w:spacing w:before="361" w:after="361" w:line="240" w:lineRule="auto"/>
        <w:widowControl/>
        <w:rPr>
          <w:rFonts w:hint="eastAsia" w:ascii="宋体" w:hAnsi="宋体" w:eastAsia="宋体" w:cs="宋体"/>
          <w:b/>
          <w:bCs/>
          <w:color w:val="000000" w:themeColor="text1"/>
          <w:sz w:val="30"/>
          <w:szCs w:val="30"/>
          <w:highlight w:val="none"/>
          <w14:textFill>
            <w14:solidFill>
              <w14:schemeClr w14:val="tx1"/>
            </w14:solidFill>
          </w14:textFill>
        </w:rPr>
      </w:pPr>
      <w:r/>
      <w:bookmarkStart w:id="108" w:name="EB46fc682c2c764bbdaed30f22794dcce7"/>
      <w:r/>
      <w:bookmarkEnd w:id="108"/>
      <w:r>
        <w:rPr>
          <w:rFonts w:hint="eastAsia" w:ascii="宋体" w:hAnsi="宋体" w:eastAsia="宋体" w:cs="宋体"/>
          <w:b/>
          <w:bCs/>
          <w:color w:val="000000" w:themeColor="text1"/>
          <w:sz w:val="30"/>
          <w:szCs w:val="30"/>
          <w:highlight w:val="none"/>
          <w14:textFill>
            <w14:solidFill>
              <w14:schemeClr w14:val="tx1"/>
            </w14:solidFill>
          </w14:textFill>
        </w:rPr>
        <w:t xml:space="preserve">远程动态心电监测服务考核表</w:t>
      </w:r>
      <w:r/>
    </w:p>
    <w:tbl>
      <w:tblPr>
        <w:tblStyle w:val="1148"/>
        <w:tblW w:w="9779"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2"/>
        <w:gridCol w:w="1963"/>
        <w:gridCol w:w="3410"/>
        <w:gridCol w:w="2004"/>
        <w:gridCol w:w="846"/>
        <w:gridCol w:w="804"/>
      </w:tblGrid>
      <w:tr>
        <w:trPr>
          <w:trHeight w:val="567"/>
          <w:tblHeader/>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000000" w:themeColor="text1"/>
                <w:sz w:val="24"/>
                <w:szCs w:val="21"/>
                <w:highlight w:val="none"/>
                <w:lang w:eastAsia="en-US"/>
                <w14:textFill>
                  <w14:solidFill>
                    <w14:schemeClr w14:val="tx1"/>
                  </w14:solidFill>
                </w14:textFill>
              </w:rPr>
            </w:pP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序号</w:t>
            </w:r>
            <w:r/>
          </w:p>
        </w:tc>
        <w:tc>
          <w:tcPr>
            <w:shd w:val="clear" w:color="auto" w:fill="auto"/>
            <w:tcW w:w="1963"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000000" w:themeColor="text1"/>
                <w:sz w:val="24"/>
                <w:szCs w:val="21"/>
                <w:highlight w:val="none"/>
                <w:lang w:eastAsia="en-US"/>
                <w14:textFill>
                  <w14:solidFill>
                    <w14:schemeClr w14:val="tx1"/>
                  </w14:solidFill>
                </w14:textFill>
              </w:rPr>
            </w:pP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考核项目</w:t>
            </w:r>
            <w:r/>
          </w:p>
        </w:tc>
        <w:tc>
          <w:tcPr>
            <w:gridSpan w:val="2"/>
            <w:shd w:val="clear" w:color="auto" w:fill="auto"/>
            <w:tcW w:w="5414"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000000" w:themeColor="text1"/>
                <w:sz w:val="24"/>
                <w:szCs w:val="21"/>
                <w:highlight w:val="none"/>
                <w:lang w:eastAsia="en-US"/>
                <w14:textFill>
                  <w14:solidFill>
                    <w14:schemeClr w14:val="tx1"/>
                  </w14:solidFill>
                </w14:textFill>
              </w:rPr>
            </w:pP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评分标准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000000" w:themeColor="text1"/>
                <w:sz w:val="24"/>
                <w:szCs w:val="21"/>
                <w:highlight w:val="none"/>
                <w:lang w:eastAsia="en-US"/>
                <w14:textFill>
                  <w14:solidFill>
                    <w14:schemeClr w14:val="tx1"/>
                  </w14:solidFill>
                </w14:textFill>
              </w:rPr>
            </w:pP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分值</w:t>
            </w:r>
            <w:r/>
          </w:p>
        </w:tc>
        <w:tc>
          <w:tcPr>
            <w:shd w:val="clear" w:color="auto" w:fill="auto"/>
            <w:tcW w:w="804"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000000" w:themeColor="text1"/>
                <w:sz w:val="24"/>
                <w:szCs w:val="21"/>
                <w:highlight w:val="none"/>
                <w:lang w:eastAsia="en-US"/>
                <w14:textFill>
                  <w14:solidFill>
                    <w14:schemeClr w14:val="tx1"/>
                  </w14:solidFill>
                </w14:textFill>
              </w:rPr>
            </w:pP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得分</w:t>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1</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患者资料准备</w:t>
            </w:r>
            <w:r/>
          </w:p>
        </w:tc>
        <w:tc>
          <w:tcPr>
            <w:gridSpan w:val="2"/>
            <w:shd w:val="clear" w:color="auto" w:fill="auto"/>
            <w:tcW w:w="541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）患者信息录入完整无误（2分）</w:t>
            </w:r>
            <w:r/>
          </w:p>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）知情同意书签署规范（2分）</w:t>
            </w:r>
            <w:r/>
          </w:p>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en-US"/>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）预约及时，接待流程顺畅（2分）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6</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2</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心电检查操作</w:t>
            </w:r>
            <w:r/>
          </w:p>
        </w:tc>
        <w:tc>
          <w:tcPr>
            <w:gridSpan w:val="2"/>
            <w:shd w:val="clear" w:color="auto" w:fill="auto"/>
            <w:tcW w:w="541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）操作规范，技术熟练（3分）</w:t>
            </w:r>
            <w:r/>
          </w:p>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）患者反馈良好无明显不适（2分）</w:t>
            </w:r>
            <w:r/>
          </w:p>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en-US"/>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）检查环境整洁、安静（1分）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6</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3</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设备性能与质控</w:t>
            </w:r>
            <w:r/>
          </w:p>
        </w:tc>
        <w:tc>
          <w:tcPr>
            <w:gridSpan w:val="2"/>
            <w:shd w:val="clear" w:color="auto" w:fill="auto"/>
            <w:tcW w:w="5414" w:type="dxa"/>
            <w:vAlign w:val="center"/>
            <w:textDirection w:val="lrTb"/>
            <w:noWrap w:val="false"/>
          </w:tcPr>
          <w:p>
            <w:pPr>
              <w:numPr>
                <w:ilvl w:val="0"/>
                <w:numId w:val="0"/>
              </w:num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定期校准与维护记录完整（3分）</w:t>
            </w:r>
            <w:r/>
          </w:p>
          <w:p>
            <w:pPr>
              <w:numPr>
                <w:ilvl w:val="0"/>
                <w:numId w:val="0"/>
              </w:numPr>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en-US"/>
                <w14:textFill>
                  <w14:solidFill>
                    <w14:schemeClr w14:val="tx1"/>
                  </w14:solidFill>
                </w14:textFill>
              </w:rPr>
            </w:pPr>
            <w:r>
              <w:rPr>
                <w:rFonts w:hint="eastAsia" w:ascii="宋体" w:hAnsi="宋体" w:eastAsia="宋体" w:cs="宋体"/>
                <w:b w:val="0"/>
                <w:bCs w:val="0"/>
                <w:color w:val="000000" w:themeColor="text1"/>
                <w:spacing w:val="0"/>
                <w:sz w:val="24"/>
                <w:szCs w:val="22"/>
                <w:highlight w:val="none"/>
                <w:lang w:val="en-US" w:eastAsia="en-US" w:bidi="ar-SA"/>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故障响应迅速，处理得当（3分）</w:t>
            </w:r>
            <w:r/>
          </w:p>
          <w:p>
            <w:pPr>
              <w:numPr>
                <w:ilvl w:val="0"/>
                <w:numId w:val="0"/>
              </w:numPr>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en-US"/>
                <w14:textFill>
                  <w14:solidFill>
                    <w14:schemeClr w14:val="tx1"/>
                  </w14:solidFill>
                </w14:textFill>
              </w:rPr>
            </w:pPr>
            <w:r>
              <w:rPr>
                <w:rFonts w:hint="eastAsia" w:ascii="宋体" w:hAnsi="宋体" w:eastAsia="宋体" w:cs="宋体"/>
                <w:b w:val="0"/>
                <w:bCs w:val="0"/>
                <w:color w:val="000000" w:themeColor="text1"/>
                <w:spacing w:val="0"/>
                <w:sz w:val="24"/>
                <w:szCs w:val="22"/>
                <w:highlight w:val="none"/>
                <w:lang w:val="en-US" w:eastAsia="en-US" w:bidi="ar-SA"/>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耗材管理规范，无过期（2分）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8</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4</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波形识别与分析</w:t>
            </w:r>
            <w:r/>
          </w:p>
        </w:tc>
        <w:tc>
          <w:tcPr>
            <w:gridSpan w:val="2"/>
            <w:shd w:val="clear" w:color="auto" w:fill="auto"/>
            <w:tcW w:w="5414" w:type="dxa"/>
            <w:vAlign w:val="center"/>
            <w:textDirection w:val="lrTb"/>
            <w:noWrap w:val="false"/>
          </w:tcPr>
          <w:p>
            <w:pPr>
              <w:numPr>
                <w:ilvl w:val="0"/>
                <w:numId w:val="0"/>
              </w:num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）诊断准确率≥95%（15分）</w:t>
            </w:r>
            <w:r/>
          </w:p>
          <w:p>
            <w:pPr>
              <w:numPr>
                <w:ilvl w:val="0"/>
                <w:numId w:val="0"/>
              </w:num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）复杂病例识别及时准确（6分）</w:t>
            </w:r>
            <w:r/>
          </w:p>
          <w:p>
            <w:pPr>
              <w:numPr>
                <w:ilvl w:val="0"/>
                <w:numId w:val="0"/>
              </w:numPr>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eastAsia="en-US"/>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）报告撰写清晰、规范，无遗漏（4分）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25</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5</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会诊与报告质量</w:t>
            </w:r>
            <w:r/>
          </w:p>
        </w:tc>
        <w:tc>
          <w:tcPr>
            <w:gridSpan w:val="2"/>
            <w:shd w:val="clear" w:color="auto" w:fill="auto"/>
            <w:tcW w:w="541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）会诊流程顺畅，效率高（5分）</w:t>
            </w:r>
            <w:r/>
          </w:p>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）报告出具时间符合规定（5分）</w:t>
            </w:r>
            <w:r/>
          </w:p>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）报告内容全面，解释详尽（10分）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20</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6</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紧急处理能力</w:t>
            </w:r>
            <w:r/>
          </w:p>
        </w:tc>
        <w:tc>
          <w:tcPr>
            <w:gridSpan w:val="2"/>
            <w:shd w:val="clear" w:color="auto" w:fill="auto"/>
            <w:tcW w:w="5414" w:type="dxa"/>
            <w:vAlign w:val="center"/>
            <w:textDirection w:val="lrTb"/>
            <w:noWrap w:val="false"/>
          </w:tcPr>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应急预案完善，定期演练（4分）</w:t>
            </w:r>
            <w:r/>
          </w:p>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紧急事件响应迅速（10分）</w:t>
            </w:r>
            <w:r/>
          </w:p>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）后续处理得当，有效跟踪（6分）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20</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7</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信息系统功能</w:t>
            </w:r>
            <w:r/>
          </w:p>
        </w:tc>
        <w:tc>
          <w:tcPr>
            <w:gridSpan w:val="2"/>
            <w:shd w:val="clear" w:color="auto" w:fill="auto"/>
            <w:tcW w:w="5414" w:type="dxa"/>
            <w:vAlign w:val="center"/>
            <w:textDirection w:val="lrTb"/>
            <w:noWrap w:val="false"/>
          </w:tcPr>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系统运行稳定，无重大安全事件（4分）（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）数据传输快速准确（2分）</w:t>
            </w:r>
            <w:r/>
          </w:p>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）远程会诊功能强大，使用便捷（2分）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8</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shd w:val="clear" w:color="auto" w:fill="auto"/>
            <w:tcW w:w="752"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8</w:t>
            </w:r>
            <w:r/>
          </w:p>
        </w:tc>
        <w:tc>
          <w:tcPr>
            <w:shd w:val="clear" w:color="auto" w:fill="auto"/>
            <w:tcW w:w="1963"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en-US"/>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安全与合规性</w:t>
            </w:r>
            <w:r/>
          </w:p>
        </w:tc>
        <w:tc>
          <w:tcPr>
            <w:gridSpan w:val="2"/>
            <w:shd w:val="clear" w:color="auto" w:fill="auto"/>
            <w:tcW w:w="5414" w:type="dxa"/>
            <w:vAlign w:val="center"/>
            <w:textDirection w:val="lrTb"/>
            <w:noWrap w:val="false"/>
          </w:tcPr>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严格遵守患者隐私保护规定（2分）</w:t>
            </w:r>
            <w:r>
              <w:rPr>
                <w:rFonts w:hint="eastAsia" w:ascii="宋体" w:hAnsi="宋体" w:eastAsia="宋体" w:cs="宋体"/>
                <w:b w:val="0"/>
                <w:bCs w:val="0"/>
                <w:color w:val="000000" w:themeColor="text1"/>
                <w:sz w:val="24"/>
                <w:highlight w:val="none"/>
                <w:lang w:eastAsia="zh-CN"/>
                <w14:textFill>
                  <w14:solidFill>
                    <w14:schemeClr w14:val="tx1"/>
                  </w14:solidFill>
                </w14:textFill>
              </w:rPr>
              <w:br/>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）医疗废物处理符合标准（2分）</w:t>
            </w:r>
            <w:r/>
          </w:p>
          <w:p>
            <w:pPr>
              <w:numPr>
                <w:ilvl w:val="0"/>
                <w:numId w:val="0"/>
              </w:numPr>
              <w:jc w:val="left"/>
              <w:keepLines w:val="0"/>
              <w:keepNext w:val="0"/>
              <w:pageBreakBefore w:val="0"/>
              <w:spacing w:line="400" w:lineRule="exact"/>
              <w:shd w:val="clear" w:color="auto"/>
              <w:widowControl w:val="off"/>
              <w:rPr>
                <w:rFonts w:hint="eastAsia" w:ascii="宋体" w:hAnsi="宋体" w:eastAsia="宋体" w:cs="宋体"/>
                <w:b w:val="0"/>
                <w:bC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）合规性检查记录完整，无违规记录（</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分）</w:t>
            </w:r>
            <w:r/>
          </w:p>
        </w:tc>
        <w:tc>
          <w:tcPr>
            <w:shd w:val="clear" w:color="auto" w:fill="auto"/>
            <w:tcW w:w="846"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7</w:t>
            </w:r>
            <w:r/>
          </w:p>
        </w:tc>
        <w:tc>
          <w:tcPr>
            <w:shd w:val="clear" w:color="auto" w:fill="auto"/>
            <w:tcW w:w="80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en-US"/>
                <w14:textFill>
                  <w14:solidFill>
                    <w14:schemeClr w14:val="tx1"/>
                  </w14:solidFill>
                </w14:textFill>
              </w:rPr>
            </w:r>
            <w:r/>
          </w:p>
        </w:tc>
      </w:tr>
      <w:tr>
        <w:trPr>
          <w:trHeight w:val="567"/>
        </w:trPr>
        <w:tc>
          <w:tcPr>
            <w:gridSpan w:val="2"/>
            <w:shd w:val="clear" w:color="auto" w:fill="auto"/>
            <w:tcW w:w="2715"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考核结果</w:t>
            </w:r>
            <w:r/>
          </w:p>
        </w:tc>
        <w:tc>
          <w:tcPr>
            <w:shd w:val="clear" w:color="auto" w:fill="auto"/>
            <w:tcW w:w="3410"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总得分：</w:t>
            </w:r>
            <w:r/>
          </w:p>
        </w:tc>
        <w:tc>
          <w:tcPr>
            <w:gridSpan w:val="3"/>
            <w:shd w:val="clear" w:color="auto" w:fill="auto"/>
            <w:tcW w:w="3654" w:type="dxa"/>
            <w:vAlign w:val="center"/>
            <w:textDirection w:val="lrTb"/>
            <w:noWrap w:val="false"/>
          </w:tcPr>
          <w:p>
            <w:pPr>
              <w:keepLines w:val="0"/>
              <w:keepNext w:val="0"/>
              <w:pageBreakBefore w:val="0"/>
              <w:spacing w:line="400" w:lineRule="exact"/>
              <w:shd w:val="clear" w:color="auto"/>
              <w:widowControl w:val="off"/>
              <w:rPr>
                <w:rFonts w:hint="eastAsia" w:ascii="宋体" w:hAnsi="宋体" w:eastAsia="宋体" w:cs="宋体"/>
                <w:b w:val="0"/>
                <w:bCs w:val="0"/>
                <w:color w:val="000000" w:themeColor="text1"/>
                <w:sz w:val="24"/>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4"/>
                <w:szCs w:val="21"/>
                <w:highlight w:val="none"/>
                <w:lang w:eastAsia="zh-CN"/>
                <w14:textFill>
                  <w14:solidFill>
                    <w14:schemeClr w14:val="tx1"/>
                  </w14:solidFill>
                </w14:textFill>
              </w:rPr>
              <w:t xml:space="preserve">考核人（签名）：</w:t>
            </w:r>
            <w:r/>
          </w:p>
        </w:tc>
      </w:tr>
    </w:tbl>
    <w:p>
      <w:pPr>
        <w:ind w:firstLine="482"/>
        <w:keepLines w:val="0"/>
        <w:keepNext w:val="0"/>
        <w:pageBreakBefore w:val="0"/>
        <w:spacing w:line="520" w:lineRule="exact"/>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376"/>
        <w:ind w:firstLine="480"/>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1．本评分标准采取百分制，各项目分数累加后得出总分，用于评估整体服务质量。</w:t>
      </w:r>
      <w:r/>
    </w:p>
    <w:p>
      <w:pPr>
        <w:pStyle w:val="1376"/>
        <w:ind w:firstLine="480"/>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2．考核采用定期与不定期相结合的方式，包括现场检查、病历抽查、患者满意度调查等多种形式。</w:t>
      </w:r>
      <w:r/>
    </w:p>
    <w:p>
      <w:pPr>
        <w:pStyle w:val="1376"/>
        <w:ind w:firstLine="480"/>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3．对于未达到最低要求的项目，将根据实际情况给予扣分，并要求限期整改。</w:t>
      </w:r>
      <w:r/>
    </w:p>
    <w:p>
      <w:pPr>
        <w:pStyle w:val="1376"/>
        <w:ind w:firstLine="480"/>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4．考核结果将作为区域心电网络成员单位服务质量评价、资金分配及合作续签的重要依据。根据考核内容综合给予考核分值（满分为100分），根据考核分值核算结算款的发放：对中标人的服务实行月度考核，月得分在90分及以上全额支付款项，低于90分，每低一分扣除中标人3%当月结算款，扣款在结算款中直接扣除。</w:t>
      </w:r>
      <w:r/>
    </w:p>
    <w:p>
      <w:pPr>
        <w:pStyle w:val="1376"/>
        <w:ind w:firstLine="480"/>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5．中标人应每月召开一次质控会，对考核中存在问题进行持续质量改进，并以书面形式向采购人反馈整改措施及效果；一年累计有三个月考核得分低于70分，视为中标人不符合采购人考核要求，采购人有权依法解除合同。</w:t>
      </w:r>
      <w:r/>
    </w:p>
    <w:p>
      <w:pPr>
        <w:pStyle w:val="1376"/>
        <w:ind w:firstLine="480"/>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6．通过上述考核标准的实施，不断提升区域心电网络的服务质量和效率，为患者提供更加优质、高效的心电检查与诊断服务。</w:t>
      </w:r>
      <w:r/>
    </w:p>
    <w:p>
      <w:pPr>
        <w:pStyle w:val="1376"/>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r>
      <w:r/>
    </w:p>
    <w:p>
      <w:pPr>
        <w:pStyle w:val="1376"/>
        <w:keepLines w:val="0"/>
        <w:keepNext w:val="0"/>
        <w:pageBreakBefore w:val="0"/>
        <w:spacing w:line="520" w:lineRule="exact"/>
        <w:shd w:val="clear" w:color="auto"/>
        <w:widowControl/>
        <w:rPr>
          <w:rStyle w:val="1352"/>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sectPr>
          <w:headerReference w:type="default" r:id="rId15"/>
          <w:headerReference w:type="first" r:id="rId16"/>
          <w:footerReference w:type="default" r:id="rId31"/>
          <w:footerReference w:type="first" r:id="rId3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r>
      <w:r/>
    </w:p>
    <w:p>
      <w:pPr>
        <w:pStyle w:val="1347"/>
        <w:spacing w:before="313" w:after="313"/>
        <w:rPr>
          <w:rFonts w:hint="eastAsia" w:ascii="宋体" w:hAnsi="宋体" w:eastAsia="宋体" w:cs="宋体"/>
          <w:color w:val="000000" w:themeColor="text1"/>
          <w:spacing w:val="0"/>
          <w:highlight w:val="none"/>
          <w14:textFill>
            <w14:solidFill>
              <w14:schemeClr w14:val="tx1"/>
            </w14:solidFill>
          </w14:textFill>
        </w:rPr>
      </w:pPr>
      <w:r/>
      <w:bookmarkStart w:id="109" w:name="_Toc29954"/>
      <w:r>
        <w:rPr>
          <w:rFonts w:hint="eastAsia" w:ascii="宋体" w:hAnsi="宋体" w:eastAsia="宋体" w:cs="宋体"/>
          <w:color w:val="000000" w:themeColor="text1"/>
          <w:spacing w:val="0"/>
          <w:highlight w:val="none"/>
          <w14:textFill>
            <w14:solidFill>
              <w14:schemeClr w14:val="tx1"/>
            </w14:solidFill>
          </w14:textFill>
        </w:rPr>
        <w:t xml:space="preserve">第五章 评标方法与评标标准</w:t>
      </w:r>
      <w:bookmarkEnd w:id="109"/>
      <w:r/>
      <w:r/>
    </w:p>
    <w:p>
      <w:pPr>
        <w:pStyle w:val="1375"/>
        <w:keepLines w:val="0"/>
        <w:keepNext w:val="0"/>
        <w:pageBreakBefore w:val="0"/>
        <w:spacing w:line="510" w:lineRule="exact"/>
        <w:widowControl/>
        <w:rPr>
          <w:rStyle w:val="1352"/>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110" w:name="_Toc26585"/>
      <w:r>
        <w:rPr>
          <w:rStyle w:val="1352"/>
          <w:rFonts w:hint="eastAsia" w:ascii="宋体" w:hAnsi="宋体" w:eastAsia="宋体" w:cs="宋体"/>
          <w:b/>
          <w:color w:val="000000" w:themeColor="text1"/>
          <w:spacing w:val="0"/>
          <w:sz w:val="28"/>
          <w:szCs w:val="28"/>
          <w:highlight w:val="none"/>
          <w14:textFill>
            <w14:solidFill>
              <w14:schemeClr w14:val="tx1"/>
            </w14:solidFill>
          </w14:textFill>
        </w:rPr>
        <w:t xml:space="preserve">一、评标方法与定标原则</w:t>
      </w:r>
      <w:bookmarkEnd w:id="110"/>
      <w:r/>
      <w:r/>
    </w:p>
    <w:p>
      <w:pPr>
        <w:pStyle w:val="1376"/>
        <w:ind w:firstLine="480"/>
        <w:keepLines w:val="0"/>
        <w:keepNext w:val="0"/>
        <w:pageBreakBefore w:val="0"/>
        <w:spacing w:line="510" w:lineRule="exact"/>
        <w:shd w:val="clear" w:color="auto"/>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375"/>
        <w:keepLines w:val="0"/>
        <w:keepNext w:val="0"/>
        <w:pageBreakBefore w:val="0"/>
        <w:spacing w:line="510" w:lineRule="exact"/>
        <w:widowControl/>
        <w:rPr>
          <w:rStyle w:val="1352"/>
          <w:rFonts w:hint="eastAsia" w:ascii="宋体" w:hAnsi="宋体" w:eastAsia="宋体" w:cs="宋体"/>
          <w:b/>
          <w:color w:val="000000" w:themeColor="text1"/>
          <w:spacing w:val="0"/>
          <w:highlight w:val="none"/>
          <w14:textFill>
            <w14:solidFill>
              <w14:schemeClr w14:val="tx1"/>
            </w14:solidFill>
          </w14:textFill>
        </w:rPr>
        <w:outlineLvl w:val="1"/>
      </w:pPr>
      <w:r/>
      <w:bookmarkStart w:id="111" w:name="EB4d4ec51fae08401e9c82e93d31b337cc"/>
      <w:r/>
      <w:bookmarkEnd w:id="111"/>
      <w:r/>
      <w:bookmarkStart w:id="112" w:name="EBd9567453f96a4fca96262d13cc886515"/>
      <w:r/>
      <w:bookmarkEnd w:id="112"/>
      <w:r/>
      <w:bookmarkStart w:id="113" w:name="_Toc6049"/>
      <w:r>
        <w:rPr>
          <w:rStyle w:val="1352"/>
          <w:rFonts w:hint="eastAsia" w:ascii="宋体" w:hAnsi="宋体" w:eastAsia="宋体" w:cs="宋体"/>
          <w:b/>
          <w:color w:val="000000" w:themeColor="text1"/>
          <w:spacing w:val="0"/>
          <w:sz w:val="28"/>
          <w:szCs w:val="28"/>
          <w:highlight w:val="none"/>
          <w14:textFill>
            <w14:solidFill>
              <w14:schemeClr w14:val="tx1"/>
            </w14:solidFill>
          </w14:textFill>
        </w:rPr>
        <w:t xml:space="preserve">二、评标标准</w:t>
      </w:r>
      <w:bookmarkEnd w:id="113"/>
      <w:r/>
      <w:r/>
    </w:p>
    <w:p>
      <w:pPr>
        <w:pStyle w:val="1375"/>
        <w:ind w:firstLine="482"/>
        <w:keepLines w:val="0"/>
        <w:keepNext w:val="0"/>
        <w:pageBreakBefore w:val="0"/>
        <w:spacing w:line="510" w:lineRule="exact"/>
        <w:widowControl/>
        <w:rPr>
          <w:rStyle w:val="1352"/>
          <w:rFonts w:hint="eastAsia" w:ascii="宋体" w:hAnsi="宋体" w:eastAsia="宋体" w:cs="宋体"/>
          <w:b/>
          <w:color w:val="000000" w:themeColor="text1"/>
          <w:spacing w:val="0"/>
          <w:sz w:val="24"/>
          <w:szCs w:val="24"/>
          <w:highlight w:val="none"/>
          <w14:textFill>
            <w14:solidFill>
              <w14:schemeClr w14:val="tx1"/>
            </w14:solidFill>
          </w14:textFill>
        </w:rPr>
      </w:pPr>
      <w:r/>
      <w:bookmarkStart w:id="114" w:name="EB5eda7c9be7464788810dca94d24e634f"/>
      <w:r/>
      <w:bookmarkEnd w:id="114"/>
      <w:r>
        <w:rPr>
          <w:rStyle w:val="1352"/>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一</w:t>
      </w:r>
      <w:r>
        <w:rPr>
          <w:rStyle w:val="1352"/>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价格分</w:t>
      </w:r>
      <w:r>
        <w:rPr>
          <w:rStyle w:val="1352"/>
          <w:rFonts w:hint="eastAsia" w:ascii="宋体" w:hAnsi="宋体" w:eastAsia="宋体" w:cs="宋体"/>
          <w:b/>
          <w:color w:val="000000" w:themeColor="text1"/>
          <w:spacing w:val="0"/>
          <w:sz w:val="24"/>
          <w:szCs w:val="24"/>
          <w:highlight w:val="none"/>
          <w:lang w:val="en-US"/>
          <w14:textFill>
            <w14:solidFill>
              <w14:schemeClr w14:val="tx1"/>
            </w14:solidFill>
          </w14:textFill>
        </w:rPr>
        <w:t xml:space="preserve">20</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分</w:t>
      </w:r>
      <w:r/>
    </w:p>
    <w:p>
      <w:pPr>
        <w:pStyle w:val="1375"/>
        <w:ind w:right="0" w:firstLine="480"/>
        <w:keepLines w:val="0"/>
        <w:keepNext w:val="0"/>
        <w:pageBreakBefore w:val="0"/>
        <w:spacing w:line="510" w:lineRule="exact"/>
        <w:widowControl/>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采用低价优先法计算，即满足招标文件要求且</w:t>
      </w:r>
      <w:r>
        <w:rPr>
          <w:rFonts w:ascii="宋体" w:hAnsi="宋体" w:eastAsia="宋体" w:cs="宋体"/>
          <w:color w:val="000000" w:themeColor="text1"/>
          <w:spacing w:val="7"/>
          <w:sz w:val="24"/>
          <w:highlight w:val="none"/>
          <w14:textFill>
            <w14:solidFill>
              <w14:schemeClr w14:val="tx1"/>
            </w14:solidFill>
          </w14:textFill>
        </w:rPr>
        <w:t xml:space="preserve">（1-投标优惠率）最低的投标报价</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为评标基准价，其价格分为满分</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20</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分。其他投标人的价格分统一按照下列公式计算：</w:t>
      </w:r>
      <w:r/>
    </w:p>
    <w:p>
      <w:pPr>
        <w:pStyle w:val="1375"/>
        <w:ind w:firstLine="480"/>
        <w:keepLines w:val="0"/>
        <w:keepNext w:val="0"/>
        <w:pageBreakBefore w:val="0"/>
        <w:spacing w:line="510" w:lineRule="exact"/>
        <w:widowControl/>
        <w:rPr>
          <w:rStyle w:val="1352"/>
          <w:rFonts w:hint="eastAsia" w:ascii="宋体" w:hAnsi="宋体" w:eastAsia="宋体" w:cs="宋体"/>
          <w:color w:val="000000" w:themeColor="text1"/>
          <w:spacing w:val="0"/>
          <w:sz w:val="24"/>
          <w:szCs w:val="24"/>
          <w:highlight w:val="none"/>
          <w:lang w:eastAsia="zh-CN"/>
          <w14:textFill>
            <w14:solidFill>
              <w14:schemeClr w14:val="tx1"/>
            </w14:solidFill>
          </w14:textFill>
        </w:rPr>
        <w:outlineLvl w:val="9"/>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投标报价得分=</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评标基准价</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ascii="宋体" w:hAnsi="宋体" w:eastAsia="宋体" w:cs="宋体"/>
          <w:color w:val="000000" w:themeColor="text1"/>
          <w:spacing w:val="7"/>
          <w:sz w:val="24"/>
          <w:highlight w:val="none"/>
          <w14:textFill>
            <w14:solidFill>
              <w14:schemeClr w14:val="tx1"/>
            </w14:solidFill>
          </w14:textFill>
        </w:rPr>
        <w:t xml:space="preserve">（1-投标优惠率</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352"/>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20</w:t>
      </w: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%*100（保留二位小数）</w:t>
      </w:r>
      <w:r>
        <w:rPr>
          <w:rStyle w:val="1352"/>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pStyle w:val="1375"/>
        <w:ind w:firstLine="482"/>
        <w:keepLines w:val="0"/>
        <w:keepNext w:val="0"/>
        <w:pageBreakBefore w:val="0"/>
        <w:spacing w:line="510" w:lineRule="exact"/>
        <w:widowControl/>
        <w:rPr>
          <w:rStyle w:val="1333"/>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352"/>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（二）技术参数分25分</w:t>
      </w:r>
      <w:r/>
    </w:p>
    <w:p>
      <w:pPr>
        <w:ind w:firstLine="499"/>
        <w:keepLines w:val="0"/>
        <w:keepNext w:val="0"/>
        <w:pageBreakBefore w:val="0"/>
        <w:spacing w:line="520" w:lineRule="exact"/>
        <w:widowControl w:val="off"/>
        <w:rPr>
          <w:rFonts w:hint="default" w:ascii="宋体" w:hAnsi="宋体" w:eastAsia="宋体" w:cs="宋体"/>
          <w:b/>
          <w:bCs/>
          <w:caps w:val="0"/>
          <w:color w:val="000000" w:themeColor="text1"/>
          <w:spacing w:val="0"/>
          <w:sz w:val="24"/>
          <w:szCs w:val="24"/>
          <w:highlight w:val="none"/>
          <w:lang w:val="en-US"/>
          <w14:textFill>
            <w14:solidFill>
              <w14:schemeClr w14:val="tx1"/>
            </w14:solidFill>
          </w14:textFill>
        </w:rPr>
        <w:outlineLvl w:val="9"/>
      </w:pPr>
      <w:r>
        <w:rPr>
          <w:rFonts w:hint="eastAsia" w:ascii="宋体" w:hAnsi="宋体" w:eastAsia="宋体" w:cs="宋体"/>
          <w:b/>
          <w:bCs/>
          <w:caps w:val="0"/>
          <w:color w:val="000000" w:themeColor="text1"/>
          <w:spacing w:val="0"/>
          <w:sz w:val="24"/>
          <w:szCs w:val="24"/>
          <w:highlight w:val="none"/>
          <w:lang w:val="en-US" w:eastAsia="zh-CN" w:bidi="ar-SA"/>
          <w14:textFill>
            <w14:solidFill>
              <w14:schemeClr w14:val="tx1"/>
            </w14:solidFill>
          </w14:textFill>
        </w:rPr>
        <w:t xml:space="preserve">1．性能、质量、配置25分</w:t>
      </w:r>
      <w:r/>
    </w:p>
    <w:p>
      <w:pPr>
        <w:ind w:firstLine="499"/>
        <w:keepLines w:val="0"/>
        <w:keepNext w:val="0"/>
        <w:pageBreakBefore w:val="0"/>
        <w:spacing w:line="520" w:lineRule="exact"/>
        <w:widowControl w:val="off"/>
        <w:rPr>
          <w:rFonts w:hint="eastAsia" w:ascii="宋体" w:hAnsi="宋体" w:eastAsia="宋体" w:cs="宋体"/>
          <w:b w:val="0"/>
          <w:caps w:val="0"/>
          <w:color w:val="000000" w:themeColor="text1"/>
          <w:spacing w:val="0"/>
          <w:sz w:val="24"/>
          <w:szCs w:val="24"/>
          <w:highlight w:val="none"/>
          <w14:textFill>
            <w14:solidFill>
              <w14:schemeClr w14:val="tx1"/>
            </w14:solidFill>
          </w14:textFill>
        </w:rPr>
        <w:outlineLvl w:val="9"/>
      </w:pP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cs="宋体"/>
          <w:b w:val="0"/>
          <w:caps w:val="0"/>
          <w:color w:val="000000" w:themeColor="text1"/>
          <w:spacing w:val="0"/>
          <w:sz w:val="24"/>
          <w:szCs w:val="24"/>
          <w:highlight w:val="none"/>
          <w:lang w:val="en-US" w:eastAsia="zh-CN"/>
          <w14:textFill>
            <w14:solidFill>
              <w14:schemeClr w14:val="tx1"/>
            </w14:solidFill>
          </w14:textFill>
        </w:rPr>
        <w:t xml:space="preserve">提供的主要硬件设备的</w:t>
      </w: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技术参数全部满足招标文件第四章  项目需求“</w:t>
      </w:r>
      <w:r>
        <w:rPr>
          <w:rFonts w:hint="eastAsia" w:ascii="宋体" w:hAnsi="宋体" w:eastAsia="宋体" w:cs="宋体"/>
          <w:b w:val="0"/>
          <w:caps w:val="0"/>
          <w:color w:val="000000" w:themeColor="text1"/>
          <w:spacing w:val="0"/>
          <w:sz w:val="24"/>
          <w:szCs w:val="24"/>
          <w:highlight w:val="none"/>
          <w:lang w:val="en-US" w:eastAsia="zh-CN"/>
          <w14:textFill>
            <w14:solidFill>
              <w14:schemeClr w14:val="tx1"/>
            </w14:solidFill>
          </w14:textFill>
        </w:rPr>
        <w:t xml:space="preserve">二</w:t>
      </w: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、技术要求（六）设备要求</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主要</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硬件</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设备技术参数</w:t>
      </w: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”的，得基本分</w:t>
      </w:r>
      <w:r>
        <w:rPr>
          <w:rFonts w:hint="eastAsia" w:ascii="宋体" w:hAnsi="宋体" w:eastAsia="宋体" w:cs="宋体"/>
          <w:b w:val="0"/>
          <w:caps w:val="0"/>
          <w:color w:val="000000" w:themeColor="text1"/>
          <w:spacing w:val="0"/>
          <w:sz w:val="24"/>
          <w:szCs w:val="24"/>
          <w:highlight w:val="none"/>
          <w:lang w:val="en-US" w:eastAsia="zh-CN"/>
          <w14:textFill>
            <w14:solidFill>
              <w14:schemeClr w14:val="tx1"/>
            </w14:solidFill>
          </w14:textFill>
        </w:rPr>
        <w:t xml:space="preserve">25</w:t>
      </w: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分，其中以“▲”标注的参数为重要指标项，每有一项负偏离的，扣</w:t>
      </w:r>
      <w:r>
        <w:rPr>
          <w:rFonts w:hint="eastAsia" w:ascii="宋体" w:hAnsi="宋体" w:eastAsia="宋体" w:cs="宋体"/>
          <w:b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分；其他技术参数，每有一项负偏离的，扣</w:t>
      </w:r>
      <w:r>
        <w:rPr>
          <w:rFonts w:hint="eastAsia" w:ascii="宋体" w:hAnsi="宋体" w:eastAsia="宋体" w:cs="宋体"/>
          <w:b w:val="0"/>
          <w:caps w:val="0"/>
          <w:color w:val="000000" w:themeColor="text1"/>
          <w:spacing w:val="0"/>
          <w:sz w:val="24"/>
          <w:szCs w:val="24"/>
          <w:highlight w:val="none"/>
          <w:lang w:val="en-US" w:eastAsia="zh-CN"/>
          <w14:textFill>
            <w14:solidFill>
              <w14:schemeClr w14:val="tx1"/>
            </w14:solidFill>
          </w14:textFill>
        </w:rPr>
        <w:t xml:space="preserve">0.5</w:t>
      </w:r>
      <w:r>
        <w:rPr>
          <w:rFonts w:hint="eastAsia" w:ascii="宋体" w:hAnsi="宋体" w:eastAsia="宋体" w:cs="宋体"/>
          <w:b w:val="0"/>
          <w:caps w:val="0"/>
          <w:color w:val="000000" w:themeColor="text1"/>
          <w:spacing w:val="0"/>
          <w:sz w:val="24"/>
          <w:szCs w:val="24"/>
          <w:highlight w:val="none"/>
          <w14:textFill>
            <w14:solidFill>
              <w14:schemeClr w14:val="tx1"/>
            </w14:solidFill>
          </w14:textFill>
        </w:rPr>
        <w:t xml:space="preserve">分；扣完为止</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（实质性要求的参数除外）。</w:t>
      </w:r>
      <w:r/>
    </w:p>
    <w:p>
      <w:pPr>
        <w:pStyle w:val="1375"/>
        <w:ind w:firstLine="480"/>
        <w:spacing w:line="520" w:lineRule="exact"/>
        <w:widowControl w:val="off"/>
        <w:rPr>
          <w:rStyle w:val="1352"/>
          <w:rFonts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注：投标人须对照项目需求中技术参数要求逐条列出并对比，在“主要硬件设备技术参数响应及偏离表”中如实详细填列所投产品的技术参数，并对其真实性负责，如有偏离请于“主要硬件设备技术参数响应及偏离表”中说明。其中需要投标人提供相关证明材料的，投标人根据要求一一提供，模糊不清楚或未提供的作负偏离处理</w:t>
      </w:r>
      <w:r>
        <w:rPr>
          <w:rFonts w:hint="eastAsia" w:ascii="宋体" w:hAnsi="宋体" w:eastAsia="宋体" w:cs="宋体"/>
          <w:b/>
          <w:bCs/>
          <w:color w:val="000000" w:themeColor="text1"/>
          <w:highlight w:val="none"/>
          <w14:textFill>
            <w14:solidFill>
              <w14:schemeClr w14:val="tx1"/>
            </w14:solidFill>
          </w14:textFill>
        </w:rPr>
        <w:t xml:space="preserve">。</w:t>
      </w:r>
      <w:r/>
    </w:p>
    <w:p>
      <w:pPr>
        <w:pStyle w:val="1375"/>
        <w:ind w:firstLine="482"/>
        <w:keepLines w:val="0"/>
        <w:keepNext w:val="0"/>
        <w:pageBreakBefore w:val="0"/>
        <w:spacing w:line="510" w:lineRule="exact"/>
        <w:widowControl/>
        <w:rPr>
          <w:rStyle w:val="1333"/>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352"/>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（三）服务方案分31分</w:t>
      </w:r>
      <w:r/>
    </w:p>
    <w:p>
      <w:pPr>
        <w:ind w:firstLine="510"/>
        <w:keepLines w:val="0"/>
        <w:keepNext w:val="0"/>
        <w:pageBreakBefore w:val="0"/>
        <w:spacing w:line="510" w:lineRule="exact"/>
        <w:shd w:val="clear" w:color="auto"/>
        <w:widowControl/>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实施方案</w:t>
      </w:r>
      <w:r>
        <w:rPr>
          <w:rFonts w:hint="eastAsia" w:ascii="宋体" w:hAnsi="宋体" w:cs="宋体"/>
          <w:b/>
          <w:bCs/>
          <w:color w:val="000000" w:themeColor="text1"/>
          <w:spacing w:val="7"/>
          <w:sz w:val="24"/>
          <w:szCs w:val="22"/>
          <w:highlight w:val="none"/>
          <w:lang w:val="en-US" w:eastAsia="zh-CN" w:bidi="ar-SA"/>
          <w14:textFill>
            <w14:solidFill>
              <w14:schemeClr w14:val="tx1"/>
            </w14:solidFill>
          </w14:textFill>
        </w:rPr>
        <w:t xml:space="preserve">10</w:t>
      </w: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分</w:t>
      </w:r>
      <w:r/>
    </w:p>
    <w:p>
      <w:pPr>
        <w:ind w:firstLine="508"/>
        <w:keepLines w:val="0"/>
        <w:keepNext w:val="0"/>
        <w:pageBreakBefore w:val="0"/>
        <w:spacing w:line="510" w:lineRule="exact"/>
        <w:shd w:val="clear" w:color="auto"/>
        <w:widowControl/>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投标人针对本项目提供具体详实的实施方案，应包括建设目标、建设规划、工作流程、服务定位、目标及具体措施、培训方案等。对项目总体认识全面深刻，对本项目工作把握准确，有较强的系统性，工作思路清晰顺畅、工作标准全面完整合理可行的，得</w:t>
      </w:r>
      <w:r>
        <w:rPr>
          <w:rFonts w:hint="eastAsia" w:ascii="宋体" w:hAnsi="宋体" w:cs="宋体"/>
          <w:b w:val="0"/>
          <w:bCs w:val="0"/>
          <w:color w:val="000000" w:themeColor="text1"/>
          <w:spacing w:val="7"/>
          <w:sz w:val="24"/>
          <w:szCs w:val="22"/>
          <w:highlight w:val="none"/>
          <w:lang w:val="en-US" w:eastAsia="zh-CN" w:bidi="ar-SA"/>
          <w14:textFill>
            <w14:solidFill>
              <w14:schemeClr w14:val="tx1"/>
            </w14:solidFill>
          </w14:textFill>
        </w:rPr>
        <w:t xml:space="preserve">10</w:t>
      </w: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分；对项目内容认识较全面、合理的，对工作规范可行、基本响应采购人要求的，得</w:t>
      </w:r>
      <w:r>
        <w:rPr>
          <w:rFonts w:hint="eastAsia" w:ascii="宋体" w:hAnsi="宋体" w:cs="宋体"/>
          <w:b w:val="0"/>
          <w:bCs w:val="0"/>
          <w:color w:val="000000" w:themeColor="text1"/>
          <w:spacing w:val="7"/>
          <w:sz w:val="24"/>
          <w:szCs w:val="22"/>
          <w:highlight w:val="none"/>
          <w:lang w:val="en-US" w:eastAsia="zh-CN" w:bidi="ar-SA"/>
          <w14:textFill>
            <w14:solidFill>
              <w14:schemeClr w14:val="tx1"/>
            </w14:solidFill>
          </w14:textFill>
        </w:rPr>
        <w:t xml:space="preserve">6</w:t>
      </w: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分；对项目总体认识一般，对制定的工作实施方案合理性一般的，得</w:t>
      </w:r>
      <w:r>
        <w:rPr>
          <w:rFonts w:hint="eastAsia" w:ascii="宋体" w:hAnsi="宋体" w:cs="宋体"/>
          <w:b w:val="0"/>
          <w:bCs w:val="0"/>
          <w:color w:val="000000" w:themeColor="text1"/>
          <w:spacing w:val="7"/>
          <w:sz w:val="24"/>
          <w:szCs w:val="22"/>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分；不提供不得分。</w:t>
      </w:r>
      <w:r/>
    </w:p>
    <w:p>
      <w:pPr>
        <w:ind w:firstLine="482"/>
        <w:keepLines w:val="0"/>
        <w:keepNext w:val="0"/>
        <w:pageBreakBefore w:val="0"/>
        <w:spacing w:line="510" w:lineRule="exact"/>
        <w:shd w:val="clear" w:color="auto"/>
        <w:widowControl/>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管理制度</w:t>
      </w:r>
      <w:r>
        <w:rPr>
          <w:rFonts w:hint="eastAsia" w:ascii="宋体" w:hAnsi="宋体" w:cs="宋体"/>
          <w:b/>
          <w:bCs/>
          <w:color w:val="000000" w:themeColor="text1"/>
          <w:spacing w:val="7"/>
          <w:sz w:val="24"/>
          <w:szCs w:val="22"/>
          <w:highlight w:val="none"/>
          <w:lang w:val="en-US" w:eastAsia="zh-CN" w:bidi="ar-SA"/>
          <w14:textFill>
            <w14:solidFill>
              <w14:schemeClr w14:val="tx1"/>
            </w14:solidFill>
          </w14:textFill>
        </w:rPr>
        <w:t xml:space="preserve">10</w:t>
      </w: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分</w:t>
      </w:r>
      <w:r/>
    </w:p>
    <w:p>
      <w:pPr>
        <w:ind w:firstLine="482"/>
        <w:keepLines w:val="0"/>
        <w:keepNext w:val="0"/>
        <w:pageBreakBefore w:val="0"/>
        <w:spacing w:line="510" w:lineRule="exact"/>
        <w:shd w:val="clear" w:color="auto"/>
        <w:widowControl/>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管理制度方案</w:t>
      </w:r>
      <w:r>
        <w:rPr>
          <w:rFonts w:hint="eastAsia" w:ascii="宋体" w:hAnsi="宋体" w:cs="宋体"/>
          <w:b w:val="0"/>
          <w:bCs w:val="0"/>
          <w:color w:val="000000" w:themeColor="text1"/>
          <w:spacing w:val="7"/>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分</w:t>
      </w:r>
      <w:r/>
    </w:p>
    <w:p>
      <w:pPr>
        <w:ind w:firstLine="482"/>
        <w:keepLines w:val="0"/>
        <w:keepNext w:val="0"/>
        <w:pageBreakBefore w:val="0"/>
        <w:spacing w:line="510" w:lineRule="exact"/>
        <w:shd w:val="clear" w:color="auto"/>
        <w:widowControl/>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投标人针对本项目提供具体详实的管理制度方案，包括组织架构、各岗位人员的职责分工以及人员管理机制。组织架构完善、人员配置满足项目需求、程序规范合理且各岗位人员职责分工明确，管理机制健全的，得</w:t>
      </w:r>
      <w:r>
        <w:rPr>
          <w:rFonts w:hint="eastAsia" w:ascii="宋体" w:hAnsi="宋体" w:cs="宋体"/>
          <w:b w:val="0"/>
          <w:bCs w:val="0"/>
          <w:color w:val="000000" w:themeColor="text1"/>
          <w:spacing w:val="7"/>
          <w:sz w:val="24"/>
          <w:szCs w:val="22"/>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分；人员基本满足项目需求，职责分工较为明确的，得</w:t>
      </w:r>
      <w:r>
        <w:rPr>
          <w:rFonts w:hint="eastAsia" w:ascii="宋体" w:hAnsi="宋体" w:cs="宋体"/>
          <w:b w:val="0"/>
          <w:bCs w:val="0"/>
          <w:color w:val="000000" w:themeColor="text1"/>
          <w:spacing w:val="7"/>
          <w:sz w:val="24"/>
          <w:szCs w:val="22"/>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分；人员配置不合理，管理机制简单的，得</w:t>
      </w:r>
      <w:r>
        <w:rPr>
          <w:rFonts w:hint="eastAsia" w:ascii="宋体" w:hAnsi="宋体" w:cs="宋体"/>
          <w:b w:val="0"/>
          <w:bCs w:val="0"/>
          <w:color w:val="000000" w:themeColor="text1"/>
          <w:spacing w:val="7"/>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分；不提供不得分。</w:t>
      </w:r>
      <w:r/>
    </w:p>
    <w:p>
      <w:pPr>
        <w:ind w:firstLine="482"/>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满足项目需求的制度及职责</w:t>
      </w:r>
      <w:r>
        <w:rPr>
          <w:rFonts w:hint="eastAsia" w:ascii="宋体" w:hAnsi="宋体" w:cs="宋体"/>
          <w:b w:val="0"/>
          <w:bCs w:val="0"/>
          <w:color w:val="000000" w:themeColor="text1"/>
          <w:spacing w:val="7"/>
          <w:sz w:val="24"/>
          <w:szCs w:val="24"/>
          <w:highlight w:val="none"/>
          <w:lang w:val="en-US" w:eastAsia="zh-CN" w:bidi="ar-SA"/>
          <w14:textFill>
            <w14:solidFill>
              <w14:schemeClr w14:val="tx1"/>
            </w14:solidFill>
          </w14:textFill>
        </w:rPr>
        <w:t xml:space="preserve">7</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分</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highlight w:val="none"/>
          <w:lang w:val="en-US" w:eastAsia="zh-CN"/>
          <w14:textFill>
            <w14:solidFill>
              <w14:schemeClr w14:val="tx1"/>
            </w14:solidFill>
          </w14:textFill>
        </w:rPr>
        <w:t xml:space="preserve">投标人针对本项目的项目需求提供以下7项制度及职责：</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①心电图危急值处理：具备心电图危急值管理体系；</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②具备心电报告审核制度；</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③具备疑难病例讨论制度；</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④具备监测医生分级管理与岗位责制；</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⑤具备监测中心值班与交接班制度；</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⑥具备心电报告质控制度与职责；</w:t>
      </w:r>
      <w:r/>
    </w:p>
    <w:p>
      <w:pPr>
        <w:ind w:right="0" w:firstLine="508"/>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⑦监测中心医疗文书管理制度。</w:t>
      </w:r>
      <w:r/>
    </w:p>
    <w:p>
      <w:pPr>
        <w:ind w:firstLine="482"/>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2"/>
          <w:highlight w:val="none"/>
          <w:lang w:val="en-US" w:eastAsia="zh-CN" w:bidi="ar-SA"/>
          <w14:textFill>
            <w14:solidFill>
              <w14:schemeClr w14:val="tx1"/>
            </w14:solidFill>
          </w14:textFill>
        </w:rPr>
        <w:t xml:space="preserve">以上7项有健全的制度及职责，分工明确，完全符合本项目需求的，每提供一项得1分；有相对健全的制度及职责，分工较明确的，基本符合本项目需求的，每提供一项得0.5分；不提供不得分。</w:t>
      </w:r>
      <w:r/>
    </w:p>
    <w:p>
      <w:pPr>
        <w:ind w:firstLine="482"/>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安全管理方案、技术实施方案及协调方案</w:t>
      </w:r>
      <w:r>
        <w:rPr>
          <w:rFonts w:hint="eastAsia" w:ascii="宋体" w:hAnsi="宋体" w:cs="宋体"/>
          <w:b/>
          <w:bCs/>
          <w:color w:val="000000" w:themeColor="text1"/>
          <w:spacing w:val="7"/>
          <w:sz w:val="24"/>
          <w:szCs w:val="22"/>
          <w:highlight w:val="none"/>
          <w:lang w:val="en-US" w:eastAsia="zh-CN" w:bidi="ar-SA"/>
          <w14:textFill>
            <w14:solidFill>
              <w14:schemeClr w14:val="tx1"/>
            </w14:solidFill>
          </w14:textFill>
        </w:rPr>
        <w:t xml:space="preserve">6</w:t>
      </w:r>
      <w:r>
        <w:rPr>
          <w:rFonts w:hint="eastAsia" w:ascii="宋体" w:hAnsi="宋体" w:eastAsia="宋体" w:cs="宋体"/>
          <w:b/>
          <w:bCs/>
          <w:color w:val="000000" w:themeColor="text1"/>
          <w:spacing w:val="7"/>
          <w:sz w:val="24"/>
          <w:szCs w:val="22"/>
          <w:highlight w:val="none"/>
          <w:lang w:val="en-US" w:eastAsia="zh-CN" w:bidi="ar-SA"/>
          <w14:textFill>
            <w14:solidFill>
              <w14:schemeClr w14:val="tx1"/>
            </w14:solidFill>
          </w14:textFill>
        </w:rPr>
        <w:t xml:space="preserve">分</w:t>
      </w:r>
      <w:r/>
    </w:p>
    <w:p>
      <w:pPr>
        <w:ind w:firstLine="480"/>
        <w:keepLines w:val="0"/>
        <w:keepNext w:val="0"/>
        <w:pageBreakBefore w:val="0"/>
        <w:spacing w:line="510" w:lineRule="exact"/>
        <w:shd w:val="clear" w:color="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投标人针对本项目提供具体详实的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安全管理方案、技术实施方案及协调方案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，包括程序、现场支援服务、软硬件故障报告及故障预防处理措施、资料档案管理、服务监督管理机制</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管理机制规范合理清晰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责任明确，流程清晰规范高效、支援服务力量强、硬件储备多更换及时、预防措施具有合理化建议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分；管理机制规范相对合理的，流程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规范合理、有一定的支援服务、硬件具有一定的储备、预防措施相对合理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分；支援服务、硬件储备较少，预防措施一般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分；不提供不得分。</w:t>
      </w:r>
      <w:r/>
    </w:p>
    <w:p>
      <w:pPr>
        <w:ind w:firstLine="482"/>
        <w:keepLines w:val="0"/>
        <w:keepNext w:val="0"/>
        <w:pageBreakBefore w:val="0"/>
        <w:spacing w:line="510" w:lineRule="exact"/>
        <w:shd w:val="clear" w:color="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4．应急预案</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分</w:t>
      </w:r>
      <w:r/>
    </w:p>
    <w:p>
      <w:pPr>
        <w:ind w:firstLine="482"/>
        <w:keepLines w:val="0"/>
        <w:keepNext w:val="0"/>
        <w:pageBreakBefore w:val="0"/>
        <w:spacing w:line="510" w:lineRule="exact"/>
        <w:shd w:val="clear" w:color="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投标人针对本项目提供具体详实的应急预案，应急方案包括应急处理措施、提供</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 xml:space="preserve">指导或者紧急处理整个服务项目中出现软硬件故障时的处理、抢修、恢复</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等。</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应急预案服务高效、具有针对性强的措施及合理化建议，可行性高的，得</w:t>
      </w:r>
      <w:r>
        <w:rPr>
          <w:rFonts w:hint="eastAsia" w:ascii="宋体" w:hAnsi="宋体" w:cs="宋体"/>
          <w:b w:val="0"/>
          <w:bCs w:val="0"/>
          <w:color w:val="000000" w:themeColor="text1"/>
          <w:spacing w:val="7"/>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分；应急预案服务基本满足采购要求、具有合理化建议，有一定可行性的，得</w:t>
      </w:r>
      <w:r>
        <w:rPr>
          <w:rFonts w:hint="eastAsia" w:ascii="宋体" w:hAnsi="宋体" w:cs="宋体"/>
          <w:b w:val="0"/>
          <w:bCs w:val="0"/>
          <w:color w:val="000000" w:themeColor="text1"/>
          <w:spacing w:val="7"/>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分；应急预案服务满足采购需求但较简单，欠缺可行性的，得1分；不提供不得分。</w:t>
      </w:r>
      <w:r/>
    </w:p>
    <w:p>
      <w:pPr>
        <w:ind w:firstLine="482"/>
        <w:keepLines w:val="0"/>
        <w:keepNext w:val="0"/>
        <w:pageBreakBefore w:val="0"/>
        <w:spacing w:line="510" w:lineRule="exact"/>
        <w:shd w:val="clear" w:color="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Style w:val="1352"/>
          <w:rFonts w:hint="eastAsia" w:ascii="宋体" w:hAnsi="宋体" w:cs="宋体"/>
          <w:b/>
          <w:color w:val="000000" w:themeColor="text1"/>
          <w:spacing w:val="0"/>
          <w:sz w:val="24"/>
          <w:szCs w:val="24"/>
          <w:highlight w:val="none"/>
          <w:lang w:val="en-US"/>
          <w14:textFill>
            <w14:solidFill>
              <w14:schemeClr w14:val="tx1"/>
            </w14:solidFill>
          </w14:textFill>
        </w:rPr>
        <w:t xml:space="preserve">四</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履约能力</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分14</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分</w:t>
      </w:r>
      <w:r/>
    </w:p>
    <w:p>
      <w:pPr>
        <w:numPr>
          <w:ilvl w:val="2"/>
          <w:numId w:val="0"/>
        </w:numPr>
        <w:ind w:firstLine="510"/>
        <w:jc w:val="both"/>
        <w:keepLines w:val="0"/>
        <w:keepNext w:val="0"/>
        <w:pageBreakBefore w:val="0"/>
        <w:spacing w:line="510" w:lineRule="exact"/>
        <w:shd w:val="clear" w:color="auto"/>
        <w:widowControl w:val="off"/>
        <w:tabs>
          <w:tab w:val="left" w:pos="0" w:leader="none"/>
          <w:tab w:val="left" w:pos="420" w:leader="none"/>
        </w:tabs>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硬件要求</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分</w:t>
      </w:r>
      <w:r/>
    </w:p>
    <w:p>
      <w:pPr>
        <w:ind w:right="0" w:firstLine="508"/>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投标人根据本项目的服务要求，能够提供承诺函，承诺函包括以下内容：提供同时具备数据采集和网络传输功能的心电监测设备，患者数据可上传至远程心电监测平台，相关心电监测设备数量能根据医院（含医联体</w:t>
      </w:r>
      <w:r>
        <w:rPr>
          <w:rFonts w:hint="eastAsia" w:cs="宋体"/>
          <w:b w:val="0"/>
          <w:bCs w:val="0"/>
          <w:color w:val="000000" w:themeColor="text1"/>
          <w:sz w:val="24"/>
          <w:szCs w:val="24"/>
          <w:highlight w:val="none"/>
          <w:lang w:eastAsia="zh-CN" w:bidi="ar"/>
          <w14:textFill>
            <w14:solidFill>
              <w14:schemeClr w14:val="tx1"/>
            </w14:solidFill>
          </w14:textFill>
        </w:rPr>
        <w:t xml:space="preserve">、</w:t>
      </w:r>
      <w:r>
        <w:rPr>
          <w:rFonts w:hint="eastAsia" w:cs="宋体"/>
          <w:b w:val="0"/>
          <w:bCs w:val="0"/>
          <w:color w:val="000000" w:themeColor="text1"/>
          <w:sz w:val="24"/>
          <w:szCs w:val="24"/>
          <w:highlight w:val="none"/>
          <w:lang w:val="en-US" w:eastAsia="zh-CN" w:bidi="ar"/>
          <w14:textFill>
            <w14:solidFill>
              <w14:schemeClr w14:val="tx1"/>
            </w14:solidFill>
          </w14:textFill>
        </w:rPr>
        <w:t xml:space="preserve">医共体</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医疗单位）实际需求来增减，如有新增需求，在5个工作日内供货完毕的，得</w:t>
      </w:r>
      <w:r>
        <w:rPr>
          <w:rFonts w:hint="eastAsia" w:ascii="宋体" w:hAnsi="宋体" w:cs="宋体"/>
          <w:b w:val="0"/>
          <w:bCs w:val="0"/>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分，不提供不得分</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（请</w:t>
      </w:r>
      <w:r>
        <w:rPr>
          <w:rFonts w:hint="eastAsia" w:ascii="宋体" w:hAnsi="宋体" w:cs="宋体"/>
          <w:b/>
          <w:bCs/>
          <w:color w:val="000000" w:themeColor="text1"/>
          <w:spacing w:val="7"/>
          <w:sz w:val="24"/>
          <w:szCs w:val="24"/>
          <w:highlight w:val="none"/>
          <w:lang w:val="en-US" w:eastAsia="zh-CN"/>
          <w14:textFill>
            <w14:solidFill>
              <w14:schemeClr w14:val="tx1"/>
            </w14:solidFill>
          </w14:textFill>
        </w:rPr>
        <w:t xml:space="preserve">在投标文件中</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提供承诺函并加盖公章，不提供或提供不全的不得分）。</w:t>
      </w:r>
      <w:r/>
    </w:p>
    <w:p>
      <w:pPr>
        <w:ind w:right="0" w:firstLine="510"/>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软</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件要求12分</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（1）软件具备实时心电功能</w:t>
      </w:r>
      <w:bookmarkStart w:id="115" w:name="OLE_LINK21"/>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3分</w:t>
      </w:r>
      <w:bookmarkEnd w:id="115"/>
      <w:r/>
      <w:r/>
    </w:p>
    <w:p>
      <w:pPr>
        <w:ind w:right="0" w:firstLine="508"/>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具有实时心电功能的动态心电记录仪，可将心电数据实时传输至服务器并经服务器传输至客户端进行展示和监测功能的，得3分；具有心电功能的动态心电记录仪，可将心电数据传输至服务器并经服务器传输至客户端进行展示和监测功能的，得2分；本项最多得3分，不提供不得分</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（请</w:t>
      </w:r>
      <w:r>
        <w:rPr>
          <w:rFonts w:hint="eastAsia" w:ascii="宋体" w:hAnsi="宋体" w:cs="宋体"/>
          <w:b/>
          <w:bCs/>
          <w:color w:val="000000" w:themeColor="text1"/>
          <w:spacing w:val="7"/>
          <w:sz w:val="24"/>
          <w:szCs w:val="24"/>
          <w:highlight w:val="none"/>
          <w:lang w:val="en-US" w:eastAsia="zh-CN"/>
          <w14:textFill>
            <w14:solidFill>
              <w14:schemeClr w14:val="tx1"/>
            </w14:solidFill>
          </w14:textFill>
        </w:rPr>
        <w:t xml:space="preserve">在投标文件中</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提供有效证明材料，不提供或提供不全的不得分）。</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（2）软件具有自动分析功能</w:t>
      </w:r>
      <w:bookmarkStart w:id="116" w:name="OLE_LINK22"/>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3分</w:t>
      </w:r>
      <w:bookmarkEnd w:id="116"/>
      <w:r/>
      <w:r/>
    </w:p>
    <w:p>
      <w:pPr>
        <w:ind w:right="0" w:firstLine="508"/>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客户端软件应具有集成静息心电检查模块、静息心电诊断模块、动态心电分析模块和心电事件提示模块的，得3分</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（请</w:t>
      </w:r>
      <w:r>
        <w:rPr>
          <w:rFonts w:hint="eastAsia" w:ascii="宋体" w:hAnsi="宋体" w:cs="宋体"/>
          <w:b/>
          <w:bCs/>
          <w:color w:val="000000" w:themeColor="text1"/>
          <w:spacing w:val="7"/>
          <w:sz w:val="24"/>
          <w:szCs w:val="24"/>
          <w:highlight w:val="none"/>
          <w:lang w:val="en-US" w:eastAsia="zh-CN"/>
          <w14:textFill>
            <w14:solidFill>
              <w14:schemeClr w14:val="tx1"/>
            </w14:solidFill>
          </w14:textFill>
        </w:rPr>
        <w:t xml:space="preserve">在投标文件中</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提供有效证明材料，不提供或提供不全的不得分）。</w:t>
      </w:r>
      <w:r/>
    </w:p>
    <w:p>
      <w:pPr>
        <w:ind w:right="0" w:firstLine="508"/>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（3）软件属于III类医疗器械产品3分</w:t>
      </w:r>
      <w:r/>
    </w:p>
    <w:p>
      <w:pPr>
        <w:ind w:right="0" w:firstLine="508"/>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bookmarkStart w:id="117" w:name="OLE_LINK7"/>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动态心电分析软件独立取得医疗器械注册证</w:t>
      </w:r>
      <w:bookmarkEnd w:id="117"/>
      <w:r>
        <w:rPr>
          <w:rFonts w:hint="eastAsia" w:ascii="宋体" w:hAnsi="宋体" w:eastAsia="宋体" w:cs="宋体"/>
          <w:b w:val="0"/>
          <w:bCs w:val="0"/>
          <w:color w:val="000000" w:themeColor="text1"/>
          <w:spacing w:val="7"/>
          <w:sz w:val="24"/>
          <w:szCs w:val="24"/>
          <w:highlight w:val="none"/>
          <w:lang w:val="en-US" w:eastAsia="zh-CN"/>
          <w14:textFill>
            <w14:solidFill>
              <w14:schemeClr w14:val="tx1"/>
            </w14:solidFill>
          </w14:textFill>
        </w:rPr>
        <w:t xml:space="preserve">的，得3分</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（请</w:t>
      </w:r>
      <w:r>
        <w:rPr>
          <w:rFonts w:hint="eastAsia" w:ascii="宋体" w:hAnsi="宋体" w:cs="宋体"/>
          <w:b/>
          <w:bCs/>
          <w:color w:val="000000" w:themeColor="text1"/>
          <w:spacing w:val="7"/>
          <w:sz w:val="24"/>
          <w:szCs w:val="24"/>
          <w:highlight w:val="none"/>
          <w:lang w:val="en-US" w:eastAsia="zh-CN"/>
          <w14:textFill>
            <w14:solidFill>
              <w14:schemeClr w14:val="tx1"/>
            </w14:solidFill>
          </w14:textFill>
        </w:rPr>
        <w:t xml:space="preserve">在投标文件中</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提供相关注册证</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的</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原件扫描件或者电子件</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，不提供不得分）。</w:t>
      </w:r>
      <w:r/>
    </w:p>
    <w:p>
      <w:pPr>
        <w:ind w:firstLine="482"/>
        <w:keepLines w:val="0"/>
        <w:keepNext w:val="0"/>
        <w:pageBreakBefore w:val="0"/>
        <w:spacing w:line="510" w:lineRule="exact"/>
        <w:shd w:val="clear" w:color="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（4）实时监测预警平台，支持AI急性心肌梗死预警，具有急性心肌梗死预警系统软件著作权证明的，得3分</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（请投标人提供急性心肌梗死预警系统软件著作权证明，不提供则不得分）。</w:t>
      </w:r>
      <w:r/>
    </w:p>
    <w:p>
      <w:pPr>
        <w:ind w:firstLine="482"/>
        <w:keepLines w:val="0"/>
        <w:keepNext w:val="0"/>
        <w:pageBreakBefore w:val="0"/>
        <w:spacing w:line="510" w:lineRule="exact"/>
        <w:shd w:val="clear" w:color="auto"/>
        <w:widowControl w:val="off"/>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pP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Style w:val="1352"/>
          <w:rFonts w:hint="eastAsia" w:ascii="宋体" w:hAnsi="宋体" w:cs="宋体"/>
          <w:b/>
          <w:color w:val="000000" w:themeColor="text1"/>
          <w:spacing w:val="0"/>
          <w:sz w:val="24"/>
          <w:szCs w:val="24"/>
          <w:highlight w:val="none"/>
          <w:lang w:val="en-US"/>
          <w14:textFill>
            <w14:solidFill>
              <w14:schemeClr w14:val="tx1"/>
            </w14:solidFill>
          </w14:textFill>
        </w:rPr>
        <w:t xml:space="preserve">五</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人员配备分</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分</w:t>
      </w:r>
      <w:r/>
    </w:p>
    <w:p>
      <w:pPr>
        <w:ind w:firstLine="508"/>
        <w:keepLines w:val="0"/>
        <w:keepNext w:val="0"/>
        <w:pageBreakBefore w:val="0"/>
        <w:spacing w:line="510" w:lineRule="exact"/>
        <w:shd w:val="clear" w:color="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.投标人的机构从业人员具有心电诊断专业资格的，有一个得</w:t>
      </w:r>
      <w:r>
        <w:rPr>
          <w:rFonts w:hint="eastAsia" w:ascii="宋体" w:hAnsi="宋体" w:cs="宋体"/>
          <w:b w:val="0"/>
          <w:bCs/>
          <w:color w:val="000000" w:themeColor="text1"/>
          <w:spacing w:val="7"/>
          <w:sz w:val="24"/>
          <w:szCs w:val="22"/>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分，最多得</w:t>
      </w:r>
      <w:r>
        <w:rPr>
          <w:rFonts w:hint="eastAsia" w:ascii="宋体" w:hAnsi="宋体" w:cs="宋体"/>
          <w:b w:val="0"/>
          <w:bCs/>
          <w:color w:val="000000" w:themeColor="text1"/>
          <w:spacing w:val="7"/>
          <w:sz w:val="24"/>
          <w:szCs w:val="22"/>
          <w:highlight w:val="none"/>
          <w:lang w:val="en-US" w:eastAsia="zh-CN" w:bidi="ar-SA"/>
          <w14:textFill>
            <w14:solidFill>
              <w14:schemeClr w14:val="tx1"/>
            </w14:solidFill>
          </w14:textFill>
        </w:rPr>
        <w:t xml:space="preserve">3</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分</w:t>
      </w:r>
      <w:r>
        <w:rPr>
          <w:rFonts w:hint="eastAsia" w:ascii="宋体" w:hAnsi="宋体" w:eastAsia="宋体" w:cs="宋体"/>
          <w:b/>
          <w:bCs w:val="0"/>
          <w:color w:val="000000" w:themeColor="text1"/>
          <w:spacing w:val="7"/>
          <w:sz w:val="24"/>
          <w:szCs w:val="22"/>
          <w:highlight w:val="none"/>
          <w:lang w:val="en-US" w:eastAsia="zh-CN" w:bidi="ar-SA"/>
          <w14:textFill>
            <w14:solidFill>
              <w14:schemeClr w14:val="tx1"/>
            </w14:solidFill>
          </w14:textFill>
        </w:rPr>
        <w:t xml:space="preserve">（请在投标文件中提供人员清单及证明材料，不提供或提供不全的不得分。中标后采购人可核对原件，如有虚假，则合同无效）。</w:t>
      </w:r>
      <w:r/>
    </w:p>
    <w:p>
      <w:pPr>
        <w:ind w:firstLine="508"/>
        <w:keepLines w:val="0"/>
        <w:keepNext w:val="0"/>
        <w:pageBreakBefore w:val="0"/>
        <w:spacing w:line="510" w:lineRule="exact"/>
        <w:shd w:val="clear" w:color="auto"/>
        <w:widowControl w:val="off"/>
        <w:rPr>
          <w:rFonts w:hint="eastAsia" w:ascii="宋体" w:hAnsi="宋体" w:eastAsia="宋体" w:cs="宋体"/>
          <w:b/>
          <w:bCs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.投标人派遣的驻场工作人员工作时间为6×8小时，且具有医学类相关背景的，得</w:t>
      </w:r>
      <w:r>
        <w:rPr>
          <w:rFonts w:hint="eastAsia" w:ascii="宋体" w:hAnsi="宋体" w:cs="宋体"/>
          <w:b w:val="0"/>
          <w:bCs/>
          <w:color w:val="000000" w:themeColor="text1"/>
          <w:spacing w:val="7"/>
          <w:sz w:val="24"/>
          <w:szCs w:val="22"/>
          <w:highlight w:val="none"/>
          <w:lang w:val="en-US" w:eastAsia="zh-CN" w:bidi="ar-SA"/>
          <w14:textFill>
            <w14:solidFill>
              <w14:schemeClr w14:val="tx1"/>
            </w14:solidFill>
          </w14:textFill>
        </w:rPr>
        <w:t xml:space="preserve">4</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分；无医学类相关背景的，得</w:t>
      </w:r>
      <w:r>
        <w:rPr>
          <w:rFonts w:hint="eastAsia" w:ascii="宋体" w:hAnsi="宋体" w:cs="宋体"/>
          <w:b w:val="0"/>
          <w:bCs/>
          <w:color w:val="000000" w:themeColor="text1"/>
          <w:spacing w:val="7"/>
          <w:sz w:val="24"/>
          <w:szCs w:val="22"/>
          <w:highlight w:val="none"/>
          <w:lang w:val="en-US" w:eastAsia="zh-CN" w:bidi="ar-SA"/>
          <w14:textFill>
            <w14:solidFill>
              <w14:schemeClr w14:val="tx1"/>
            </w14:solidFill>
          </w14:textFill>
        </w:rPr>
        <w:t xml:space="preserve">2</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分；本项最多得</w:t>
      </w:r>
      <w:r>
        <w:rPr>
          <w:rFonts w:hint="eastAsia" w:ascii="宋体" w:hAnsi="宋体" w:cs="宋体"/>
          <w:b w:val="0"/>
          <w:bCs/>
          <w:color w:val="000000" w:themeColor="text1"/>
          <w:spacing w:val="7"/>
          <w:sz w:val="24"/>
          <w:szCs w:val="22"/>
          <w:highlight w:val="none"/>
          <w:lang w:val="en-US" w:eastAsia="zh-CN" w:bidi="ar-SA"/>
          <w14:textFill>
            <w14:solidFill>
              <w14:schemeClr w14:val="tx1"/>
            </w14:solidFill>
          </w14:textFill>
        </w:rPr>
        <w:t xml:space="preserve">4</w:t>
      </w:r>
      <w:r>
        <w:rPr>
          <w:rFonts w:hint="eastAsia" w:ascii="宋体" w:hAnsi="宋体" w:eastAsia="宋体" w:cs="宋体"/>
          <w:b w:val="0"/>
          <w:bCs/>
          <w:color w:val="000000" w:themeColor="text1"/>
          <w:spacing w:val="7"/>
          <w:sz w:val="24"/>
          <w:szCs w:val="22"/>
          <w:highlight w:val="none"/>
          <w:lang w:val="en-US" w:eastAsia="zh-CN" w:bidi="ar-SA"/>
          <w14:textFill>
            <w14:solidFill>
              <w14:schemeClr w14:val="tx1"/>
            </w14:solidFill>
          </w14:textFill>
        </w:rPr>
        <w:t xml:space="preserve">分</w:t>
      </w:r>
      <w:r>
        <w:rPr>
          <w:rFonts w:hint="eastAsia" w:ascii="宋体" w:hAnsi="宋体" w:eastAsia="宋体" w:cs="宋体"/>
          <w:b/>
          <w:bCs w:val="0"/>
          <w:color w:val="000000" w:themeColor="text1"/>
          <w:spacing w:val="7"/>
          <w:sz w:val="24"/>
          <w:szCs w:val="22"/>
          <w:highlight w:val="none"/>
          <w:lang w:val="en-US" w:eastAsia="zh-CN" w:bidi="ar-SA"/>
          <w14:textFill>
            <w14:solidFill>
              <w14:schemeClr w14:val="tx1"/>
            </w14:solidFill>
          </w14:textFill>
        </w:rPr>
        <w:t xml:space="preserve">（请在投标文件中提供人员清单、医学类相关专业毕业证明证件，不提供或提供不全的不得分。中标后采购人可核对原件，如有虚假，则合同无效）。</w:t>
      </w:r>
      <w:r/>
    </w:p>
    <w:p>
      <w:pPr>
        <w:ind w:firstLine="482"/>
        <w:keepLines w:val="0"/>
        <w:keepNext w:val="0"/>
        <w:pageBreakBefore w:val="0"/>
        <w:spacing w:line="510" w:lineRule="exact"/>
        <w:shd w:val="clear" w:color="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Style w:val="1352"/>
          <w:rFonts w:hint="eastAsia" w:ascii="宋体" w:hAnsi="宋体" w:cs="宋体"/>
          <w:b/>
          <w:color w:val="000000" w:themeColor="text1"/>
          <w:spacing w:val="0"/>
          <w:sz w:val="24"/>
          <w:szCs w:val="24"/>
          <w:highlight w:val="none"/>
          <w:lang w:val="en-US"/>
          <w14:textFill>
            <w14:solidFill>
              <w14:schemeClr w14:val="tx1"/>
            </w14:solidFill>
          </w14:textFill>
        </w:rPr>
        <w:t xml:space="preserve">六</w:t>
      </w:r>
      <w:r>
        <w:rPr>
          <w:rStyle w:val="1352"/>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维修响应</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分2</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分</w:t>
      </w:r>
      <w:r/>
    </w:p>
    <w:p>
      <w:pPr>
        <w:ind w:right="-125" w:firstLine="482"/>
        <w:jc w:val="left"/>
        <w:keepLines w:val="0"/>
        <w:keepNext w:val="0"/>
        <w:pageBreakBefore w:val="0"/>
        <w:spacing w:line="510" w:lineRule="exact"/>
        <w:shd w:val="clear" w:color="auto"/>
        <w:widowControl w:val="off"/>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1．投标人提供故障（软硬件）维护响应时间承诺函，承诺函响应时间完全满足招标文件要求的，得</w:t>
      </w:r>
      <w:r>
        <w:rPr>
          <w:rFonts w:hint="eastAsia" w:ascii="宋体" w:hAnsi="宋体" w:cs="宋体"/>
          <w:b w:val="0"/>
          <w:bCs w:val="0"/>
          <w:color w:val="000000" w:themeColor="text1"/>
          <w:spacing w:val="7"/>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分；不提供不得分</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（请在投标文件中提供承诺函并加盖公章，不提供的不得分）。</w:t>
      </w:r>
      <w:r/>
    </w:p>
    <w:p>
      <w:pPr>
        <w:ind w:firstLine="482"/>
        <w:keepLines w:val="0"/>
        <w:keepNext w:val="0"/>
        <w:pageBreakBefore w:val="0"/>
        <w:spacing w:line="510" w:lineRule="exact"/>
        <w:shd w:val="clear" w:color="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2．投标人提供</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应急联系电话</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的，得</w:t>
      </w:r>
      <w:r>
        <w:rPr>
          <w:rFonts w:hint="eastAsia" w:ascii="宋体" w:hAnsi="宋体" w:cs="宋体"/>
          <w:b w:val="0"/>
          <w:bCs w:val="0"/>
          <w:color w:val="000000" w:themeColor="text1"/>
          <w:spacing w:val="7"/>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分，不提供不得分</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（请在投标文件中提供应急联系电话，不提供的不得分）。</w:t>
      </w:r>
      <w:r/>
    </w:p>
    <w:p>
      <w:pPr>
        <w:ind w:firstLine="482"/>
        <w:keepLines w:val="0"/>
        <w:keepNext w:val="0"/>
        <w:pageBreakBefore w:val="0"/>
        <w:spacing w:line="510" w:lineRule="exact"/>
        <w:shd w:val="clear" w:color="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Style w:val="1352"/>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Style w:val="1352"/>
          <w:rFonts w:hint="eastAsia" w:ascii="宋体" w:hAnsi="宋体" w:cs="宋体"/>
          <w:b/>
          <w:color w:val="000000" w:themeColor="text1"/>
          <w:sz w:val="24"/>
          <w:szCs w:val="24"/>
          <w:highlight w:val="none"/>
          <w:lang w:val="en-US" w:eastAsia="zh-CN"/>
          <w14:textFill>
            <w14:solidFill>
              <w14:schemeClr w14:val="tx1"/>
            </w14:solidFill>
          </w14:textFill>
        </w:rPr>
        <w:t xml:space="preserve">七</w:t>
      </w:r>
      <w:r>
        <w:rPr>
          <w:rStyle w:val="1352"/>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类似业绩分1分</w:t>
      </w:r>
      <w:r/>
    </w:p>
    <w:p>
      <w:pPr>
        <w:ind w:right="-125" w:firstLine="482"/>
        <w:jc w:val="left"/>
        <w:keepLines w:val="0"/>
        <w:keepNext w:val="0"/>
        <w:pageBreakBefore w:val="0"/>
        <w:spacing w:line="510" w:lineRule="exact"/>
        <w:shd w:val="clear" w:color="auto"/>
        <w:widowControl w:val="off"/>
        <w:rPr>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pacing w:val="7"/>
          <w:sz w:val="24"/>
          <w:szCs w:val="24"/>
          <w:highlight w:val="none"/>
          <w:lang w:val="en-US" w:eastAsia="zh-CN" w:bidi="ar-SA"/>
          <w14:textFill>
            <w14:solidFill>
              <w14:schemeClr w14:val="tx1"/>
            </w14:solidFill>
          </w14:textFill>
        </w:rPr>
        <w:t xml:space="preserve">投标人提供2022年以来（以合同签订日期为准）承担过类似项目业绩的，有一个得0.5分，最多得1分</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（请在投标文件中提供相关合同的</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原件扫描件或者电子件</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，不提供或提供不全的不得分）。</w:t>
      </w:r>
      <w:r/>
    </w:p>
    <w:p>
      <w:pPr>
        <w:ind w:right="-124" w:firstLine="482"/>
        <w:keepLines w:val="0"/>
        <w:keepNext w:val="0"/>
        <w:pageBreakBefore w:val="0"/>
        <w:spacing w:line="51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r>
      <w:r/>
    </w:p>
    <w:p>
      <w:pPr>
        <w:ind w:right="-124" w:firstLine="482"/>
        <w:keepLines w:val="0"/>
        <w:keepNext w:val="0"/>
        <w:pageBreakBefore w:val="0"/>
        <w:spacing w:line="51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注：以上证明材料请在投标文件中提供原件扫描件或者电子件，不提供不得分。</w:t>
      </w:r>
      <w:r/>
    </w:p>
    <w:p>
      <w:pPr>
        <w:pStyle w:val="1156"/>
        <w:ind w:left="0" w:firstLine="0"/>
        <w:keepLines w:val="0"/>
        <w:keepNext w:val="0"/>
        <w:pageBreakBefore w:val="0"/>
        <w:spacing w:line="51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510" w:lineRule="exact"/>
        <w:rPr>
          <w:rFonts w:hint="eastAsia" w:ascii="宋体" w:hAnsi="宋体" w:eastAsia="宋体" w:cs="宋体"/>
          <w:color w:val="000000" w:themeColor="text1"/>
          <w:highlight w:val="none"/>
          <w14:textFill>
            <w14:solidFill>
              <w14:schemeClr w14:val="tx1"/>
            </w14:solidFill>
          </w14:textFill>
        </w:rPr>
        <w:sectPr>
          <w:headerReference w:type="default" r:id="rId17"/>
          <w:headerReference w:type="first" r:id="rId18"/>
          <w:footerReference w:type="default" r:id="rId33"/>
          <w:footerReference w:type="first" r:id="rId3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highlight w:val="none"/>
          <w14:textFill>
            <w14:solidFill>
              <w14:schemeClr w14:val="tx1"/>
            </w14:solidFill>
          </w14:textFill>
        </w:rPr>
      </w:r>
      <w:r/>
    </w:p>
    <w:p>
      <w:pPr>
        <w:pStyle w:val="1347"/>
        <w:spacing w:before="313" w:after="313"/>
        <w:rPr>
          <w:rFonts w:hint="eastAsia" w:ascii="宋体" w:hAnsi="宋体" w:eastAsia="宋体" w:cs="宋体"/>
          <w:color w:val="000000" w:themeColor="text1"/>
          <w:spacing w:val="0"/>
          <w:highlight w:val="none"/>
          <w14:textFill>
            <w14:solidFill>
              <w14:schemeClr w14:val="tx1"/>
            </w14:solidFill>
          </w14:textFill>
        </w:rPr>
      </w:pPr>
      <w:r/>
      <w:bookmarkStart w:id="118" w:name="_Toc18068"/>
      <w:r>
        <w:rPr>
          <w:rFonts w:hint="eastAsia" w:ascii="宋体" w:hAnsi="宋体" w:eastAsia="宋体" w:cs="宋体"/>
          <w:color w:val="000000" w:themeColor="text1"/>
          <w:spacing w:val="0"/>
          <w:highlight w:val="none"/>
          <w14:textFill>
            <w14:solidFill>
              <w14:schemeClr w14:val="tx1"/>
            </w14:solidFill>
          </w14:textFill>
        </w:rPr>
        <w:t xml:space="preserve">第六章 投标文件格式</w:t>
      </w:r>
      <w:bookmarkEnd w:id="118"/>
      <w:r/>
      <w:r/>
    </w:p>
    <w:p>
      <w:pPr>
        <w:pStyle w:val="1377"/>
        <w:jc w:val="center"/>
        <w:spacing w:before="157" w:after="157"/>
        <w:shd w:val="clear" w:color="auto"/>
        <w:rPr>
          <w:rFonts w:hint="eastAsia" w:ascii="宋体" w:hAnsi="宋体" w:eastAsia="宋体" w:cs="宋体"/>
          <w:color w:val="000000" w:themeColor="text1"/>
          <w:sz w:val="40"/>
          <w:szCs w:val="40"/>
          <w:highlight w:val="none"/>
          <w14:textFill>
            <w14:solidFill>
              <w14:schemeClr w14:val="tx1"/>
            </w14:solidFill>
          </w14:textFill>
        </w:rPr>
      </w:pPr>
      <w:r>
        <w:rPr>
          <w:rFonts w:hint="eastAsia" w:ascii="宋体" w:hAnsi="宋体" w:eastAsia="宋体" w:cs="宋体"/>
          <w:color w:val="000000" w:themeColor="text1"/>
          <w:sz w:val="40"/>
          <w:szCs w:val="40"/>
          <w:highlight w:val="none"/>
          <w14:textFill>
            <w14:solidFill>
              <w14:schemeClr w14:val="tx1"/>
            </w14:solidFill>
          </w14:textFill>
        </w:rPr>
        <w:t xml:space="preserve">投标主要文件目录</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一、封面</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二、投标函格式</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三、开标一览表</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四、资格证明文件</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五、投标配置及分项报价表</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六、第四章项目需求中实质性要求响应对照表</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七、服务方案</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八、投标人情况介绍</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九、技术要求响应及偏离表</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十、商务条款响应及偏离表</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十一、其他材料</w:t>
      </w:r>
      <w:r/>
    </w:p>
    <w:p>
      <w:pPr>
        <w:keepLines w:val="0"/>
        <w:keepNext w:val="0"/>
        <w:pageBreakBefore w:val="0"/>
        <w:spacing w:line="480" w:lineRule="auto"/>
        <w:shd w:val="clear" w:color="auto"/>
        <w:widowControl/>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十二、承诺函</w:t>
      </w:r>
      <w:r/>
    </w:p>
    <w:p>
      <w:pPr>
        <w:jc w:val="left"/>
        <w:keepLines w:val="0"/>
        <w:keepNext w:val="0"/>
        <w:pageBreakBefore w:val="0"/>
        <w:spacing w:line="480" w:lineRule="auto"/>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br w:type="page" w:clear="all"/>
      </w:r>
      <w:bookmarkStart w:id="119" w:name="_Toc14662"/>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一、封面</w:t>
      </w:r>
      <w:bookmarkEnd w:id="119"/>
      <w:r/>
      <w:r/>
    </w:p>
    <w:p>
      <w:pPr>
        <w:jc w:val="center"/>
        <w:spacing w:before="540" w:after="540"/>
        <w:shd w:val="clear" w:color="auto"/>
        <w:rPr>
          <w:rFonts w:hint="eastAsia" w:ascii="宋体" w:hAnsi="宋体" w:eastAsia="宋体" w:cs="宋体"/>
          <w:b/>
          <w:bCs/>
          <w:caps w:val="0"/>
          <w:smallCaps w:val="0"/>
          <w:color w:val="000000" w:themeColor="text1"/>
          <w:spacing w:val="0"/>
          <w:sz w:val="72"/>
          <w:szCs w:val="72"/>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72"/>
          <w:szCs w:val="72"/>
          <w:highlight w:val="none"/>
          <w:shd w:val="clear" w:color="auto" w:fill="auto"/>
          <w:lang w:val="en-US" w:eastAsia="zh-CN" w:bidi="ar-SA"/>
          <w14:textFill>
            <w14:solidFill>
              <w14:schemeClr w14:val="tx1"/>
            </w14:solidFill>
          </w14:textFill>
        </w:rPr>
        <w:t xml:space="preserve">投 标 文 件</w:t>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ind w:firstLine="2530"/>
        <w:jc w:val="both"/>
        <w:spacing w:before="360" w:after="360"/>
        <w:shd w:val="clear" w:color="auto"/>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项目名称：</w:t>
      </w:r>
      <w:r>
        <w:rPr>
          <w:rFonts w:hint="eastAsia" w:ascii="宋体" w:hAnsi="宋体" w:eastAsia="宋体" w:cs="宋体"/>
          <w:b/>
          <w:bCs/>
          <w:caps w:val="0"/>
          <w:smallCaps w:val="0"/>
          <w:color w:val="000000" w:themeColor="text1"/>
          <w:spacing w:val="0"/>
          <w:sz w:val="21"/>
          <w:szCs w:val="22"/>
          <w:highlight w:val="none"/>
          <w:u w:val="single"/>
          <w:shd w:val="clear" w:color="auto" w:fill="auto"/>
          <w:lang w:val="en-US" w:eastAsia="zh-CN" w:bidi="ar-SA"/>
          <w14:textFill>
            <w14:solidFill>
              <w14:schemeClr w14:val="tx1"/>
            </w14:solidFill>
          </w14:textFill>
        </w:rPr>
        <w:t xml:space="preserve">                      </w:t>
      </w:r>
      <w:r/>
    </w:p>
    <w:p>
      <w:pPr>
        <w:ind w:firstLine="2530"/>
        <w:jc w:val="both"/>
        <w:spacing w:before="360" w:after="360"/>
        <w:shd w:val="clear" w:color="auto"/>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招标编号：</w:t>
      </w:r>
      <w:r>
        <w:rPr>
          <w:rFonts w:hint="eastAsia" w:ascii="宋体" w:hAnsi="宋体" w:eastAsia="宋体" w:cs="宋体"/>
          <w:b/>
          <w:bCs/>
          <w:caps w:val="0"/>
          <w:smallCaps w:val="0"/>
          <w:color w:val="000000" w:themeColor="text1"/>
          <w:spacing w:val="0"/>
          <w:sz w:val="21"/>
          <w:szCs w:val="22"/>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ind w:firstLine="2168"/>
        <w:jc w:val="both"/>
        <w:spacing w:before="360" w:after="360"/>
        <w:shd w:val="clear" w:color="auto"/>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投标人名称：</w:t>
      </w:r>
      <w:r>
        <w:rPr>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bidi="ar-SA"/>
          <w14:textFill>
            <w14:solidFill>
              <w14:schemeClr w14:val="tx1"/>
            </w14:solidFill>
          </w14:textFill>
        </w:rPr>
        <w:t xml:space="preserve">                </w:t>
      </w:r>
      <w:r/>
    </w:p>
    <w:p>
      <w:pPr>
        <w:ind w:firstLine="2168"/>
        <w:jc w:val="both"/>
        <w:spacing w:before="360" w:after="360"/>
        <w:shd w:val="clear" w:color="auto"/>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日      期：</w:t>
      </w:r>
      <w:r>
        <w:rPr>
          <w:rFonts w:hint="eastAsia" w:ascii="宋体" w:hAnsi="宋体" w:eastAsia="宋体" w:cs="宋体"/>
          <w:b/>
          <w:bCs/>
          <w:caps w:val="0"/>
          <w:smallCaps w:val="0"/>
          <w:color w:val="000000" w:themeColor="text1"/>
          <w:spacing w:val="0"/>
          <w:sz w:val="21"/>
          <w:szCs w:val="22"/>
          <w:highlight w:val="none"/>
          <w:u w:val="single"/>
          <w:shd w:val="clear" w:color="auto" w:fill="auto"/>
          <w:lang w:val="en-US" w:eastAsia="zh-CN" w:bidi="ar-SA"/>
          <w14:textFill>
            <w14:solidFill>
              <w14:schemeClr w14:val="tx1"/>
            </w14:solidFill>
          </w14:textFill>
        </w:rPr>
        <w:t xml:space="preserve">                        </w:t>
      </w:r>
      <w:r/>
    </w:p>
    <w:p>
      <w:pPr>
        <w:jc w:val="cente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center"/>
        <w:keepLines w:val="0"/>
        <w:keepNext w:val="0"/>
        <w:pageBreakBefore w:val="0"/>
        <w:spacing w:line="520" w:lineRule="exact"/>
        <w:shd w:val="clear" w:color="auto"/>
        <w:widowControl/>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both"/>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bookmarkStart w:id="120" w:name="_Toc29501"/>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二、投标函格式</w:t>
      </w:r>
      <w:bookmarkEnd w:id="120"/>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投标函</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致：苏州政合信咨询管理服务有限公司：</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根据贵方的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号招标文件，正式授权下述签字人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(姓名和职务)代表我方</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（投标人的名称），全权处理本次项目投标的有关事宜。</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据此函，签字人兹宣布同意如下：</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1、同意向贵方提供贵方可能另外要求的与投标有关的任何证据或资料；</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2、我们完全理解贵方不一定将合同授予最低报价的投标人；</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3、我们已详细审核全部招标文件及其有效补充文件，我们知道必须放弃提出含糊不清或误解问题的权利；</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4、一旦我方中标，我们将根据招标文件的规定，严格履行合同条款的责任和义务，并保证按照合同条款提供服务；</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5、与本投标有关的正式通讯地址为：</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邮编：</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电话：</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传真：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投标人代表姓名：</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公章：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br w:type="page" w:clear="all"/>
      </w:r>
      <w:bookmarkStart w:id="121" w:name="_Toc7463"/>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三、开标一览表</w:t>
      </w:r>
      <w:bookmarkEnd w:id="121"/>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﻿开标一览表</w:t>
      </w:r>
      <w:r/>
    </w:p>
    <w:p>
      <w:pPr>
        <w:pStyle w:val="1381"/>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全称（加盖公章）：</w:t>
      </w:r>
      <w:r>
        <w:rPr>
          <w:rStyle w:val="1352"/>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81"/>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项目编号：</w:t>
      </w:r>
      <w:r>
        <w:rPr>
          <w:rStyle w:val="1352"/>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bl>
      <w:tblPr>
        <w:tblStyle w:val="1148"/>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32"/>
        <w:gridCol w:w="2384"/>
        <w:gridCol w:w="2484"/>
        <w:gridCol w:w="2052"/>
      </w:tblGrid>
      <w:tr>
        <w:trPr>
          <w:jc w:val="center"/>
          <w:trHeight w:val="567"/>
        </w:trPr>
        <w:tc>
          <w:tcPr>
            <w:tcMar>
              <w:left w:w="0" w:type="dxa"/>
              <w:top w:w="0" w:type="dxa"/>
              <w:right w:w="0" w:type="dxa"/>
              <w:bottom w:w="0" w:type="dxa"/>
            </w:tcMar>
            <w:tcW w:w="2832" w:type="dxa"/>
            <w:vAlign w:val="center"/>
            <w:textDirection w:val="lrTb"/>
            <w:noWrap w:val="false"/>
          </w:tcPr>
          <w:p>
            <w:pPr>
              <w:jc w:val="center"/>
              <w:spacing w:line="240" w:lineRule="auto"/>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w:t>
            </w:r>
            <w:r/>
          </w:p>
        </w:tc>
        <w:tc>
          <w:tcPr>
            <w:tcMar>
              <w:left w:w="0" w:type="dxa"/>
              <w:top w:w="0" w:type="dxa"/>
              <w:right w:w="0" w:type="dxa"/>
              <w:bottom w:w="0" w:type="dxa"/>
            </w:tcMar>
            <w:tcW w:w="2384" w:type="dxa"/>
            <w:vAlign w:val="center"/>
            <w:textDirection w:val="lrTb"/>
            <w:noWrap w:val="false"/>
          </w:tcPr>
          <w:p>
            <w:pPr>
              <w:jc w:val="center"/>
              <w:spacing w:line="240" w:lineRule="auto"/>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服务期限</w:t>
            </w:r>
            <w:r/>
          </w:p>
        </w:tc>
        <w:tc>
          <w:tcPr>
            <w:tcMar>
              <w:left w:w="0" w:type="dxa"/>
              <w:top w:w="0" w:type="dxa"/>
              <w:right w:w="0" w:type="dxa"/>
              <w:bottom w:w="0" w:type="dxa"/>
            </w:tcMar>
            <w:tcW w:w="2484" w:type="dxa"/>
            <w:vAlign w:val="center"/>
            <w:textDirection w:val="lrTb"/>
            <w:noWrap w:val="false"/>
          </w:tcPr>
          <w:p>
            <w:pPr>
              <w:jc w:val="center"/>
              <w:spacing w:line="240" w:lineRule="auto"/>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优惠率（%）</w:t>
            </w:r>
            <w:r/>
          </w:p>
        </w:tc>
        <w:tc>
          <w:tcPr>
            <w:tcMar>
              <w:left w:w="0" w:type="dxa"/>
              <w:top w:w="0" w:type="dxa"/>
              <w:right w:w="0" w:type="dxa"/>
              <w:bottom w:w="0" w:type="dxa"/>
            </w:tcMar>
            <w:tcW w:w="2052" w:type="dxa"/>
            <w:vAlign w:val="center"/>
            <w:textDirection w:val="lrTb"/>
            <w:noWrap w:val="false"/>
          </w:tcPr>
          <w:p>
            <w:pPr>
              <w:jc w:val="center"/>
              <w:spacing w:line="240" w:lineRule="auto"/>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备注</w:t>
            </w:r>
            <w:r/>
          </w:p>
        </w:tc>
      </w:tr>
      <w:tr>
        <w:trPr>
          <w:jc w:val="center"/>
          <w:trHeight w:val="1134"/>
        </w:trPr>
        <w:tc>
          <w:tcPr>
            <w:tcMar>
              <w:left w:w="0" w:type="dxa"/>
              <w:top w:w="0" w:type="dxa"/>
              <w:right w:w="0" w:type="dxa"/>
              <w:bottom w:w="0" w:type="dxa"/>
            </w:tcMar>
            <w:tcW w:w="2832" w:type="dxa"/>
            <w:vAlign w:val="center"/>
            <w:textDirection w:val="lrTb"/>
            <w:noWrap w:val="false"/>
          </w:tcPr>
          <w:p>
            <w:pPr>
              <w:jc w:val="cente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心电监测服务</w:t>
            </w:r>
            <w:r/>
          </w:p>
        </w:tc>
        <w:tc>
          <w:tcPr>
            <w:tcMar>
              <w:left w:w="0" w:type="dxa"/>
              <w:top w:w="0" w:type="dxa"/>
              <w:right w:w="0" w:type="dxa"/>
              <w:bottom w:w="0" w:type="dxa"/>
            </w:tcMar>
            <w:tcW w:w="2384" w:type="dxa"/>
            <w:vAlign w:val="center"/>
            <w:textDirection w:val="lrTb"/>
            <w:noWrap w:val="false"/>
          </w:tcPr>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84" w:type="dxa"/>
            <w:vAlign w:val="center"/>
            <w:textDirection w:val="lrTb"/>
            <w:noWrap w:val="false"/>
          </w:tcPr>
          <w:p>
            <w:pPr>
              <w:jc w:val="center"/>
              <w:spacing w:line="240" w:lineRule="auto"/>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52" w:type="dxa"/>
            <w:vAlign w:val="center"/>
            <w:textDirection w:val="lrTb"/>
            <w:noWrap w:val="false"/>
          </w:tcPr>
          <w:p>
            <w:pPr>
              <w:jc w:val="center"/>
              <w:spacing w:line="240" w:lineRule="auto"/>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bl>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pStyle w:val="1381"/>
        <w:jc w:val="right"/>
        <w:keepLines w:val="0"/>
        <w:keepNext w:val="0"/>
        <w:pageBreakBefore w:val="0"/>
        <w:spacing w:line="520" w:lineRule="exact"/>
        <w:shd w:val="clear" w:color="auto" w:fill="auto"/>
        <w:widowControl/>
        <w:rPr>
          <w:rStyle w:val="1352"/>
          <w:rFonts w:hint="eastAsia" w:ascii="宋体" w:hAnsi="宋体" w:eastAsia="宋体" w:cs="宋体"/>
          <w:b/>
          <w:bCs/>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日</w:t>
      </w:r>
      <w:r/>
    </w:p>
    <w:p>
      <w:pPr>
        <w:pStyle w:val="1381"/>
        <w:keepLines w:val="0"/>
        <w:keepNext w:val="0"/>
        <w:pageBreakBefore w:val="0"/>
        <w:spacing w:line="520" w:lineRule="exact"/>
        <w:shd w:val="clear" w:color="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w:t>
      </w:r>
      <w:r/>
    </w:p>
    <w:p>
      <w:pPr>
        <w:pStyle w:val="1381"/>
        <w:keepLines w:val="0"/>
        <w:keepNext w:val="0"/>
        <w:pageBreakBefore w:val="0"/>
        <w:spacing w:line="520" w:lineRule="exact"/>
        <w:shd w:val="clear" w:color="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w:t>
      </w: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优惠率</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为综合报价，详见招标文件第二章12.4。</w:t>
      </w:r>
      <w:r/>
    </w:p>
    <w:p>
      <w:pPr>
        <w:pStyle w:val="1381"/>
        <w:keepLines w:val="0"/>
        <w:keepNext w:val="0"/>
        <w:pageBreakBefore w:val="0"/>
        <w:spacing w:line="520" w:lineRule="exact"/>
        <w:shd w:val="clear" w:color="auto"/>
        <w:widowControl/>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2、本次报价采用优惠率报价。例如：投标人以38%优惠率报价本项目，直接在报价栏中填报38即可。如投标人投标优惠率为38%，即中标后按招标文件中的项目收费标准*（1-38%）的价格执行。</w:t>
      </w:r>
      <w:r/>
    </w:p>
    <w:p>
      <w:pPr>
        <w:pStyle w:val="1381"/>
        <w:keepLines w:val="0"/>
        <w:keepNext w:val="0"/>
        <w:pageBreakBefore w:val="0"/>
        <w:spacing w:line="520" w:lineRule="exact"/>
        <w:shd w:val="clear" w:color="auto"/>
        <w:widowControl/>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3.本次招标时投标优惠率≥38%，否则视为无效报价。</w:t>
      </w:r>
      <w:r/>
    </w:p>
    <w:p>
      <w:pPr>
        <w:pStyle w:val="1381"/>
        <w:keepLines w:val="0"/>
        <w:keepNext w:val="0"/>
        <w:pageBreakBefore w:val="0"/>
        <w:spacing w:line="520" w:lineRule="exact"/>
        <w:shd w:val="clear" w:color="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4</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81"/>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headerReference w:type="default" r:id="rId19"/>
          <w:headerReference w:type="first" r:id="rId20"/>
          <w:footnotePr/>
          <w:endnotePr/>
          <w:type w:val="nextPage"/>
          <w:pgSz w:w="11906" w:h="16838" w:orient="portrait"/>
          <w:pgMar w:top="1440" w:right="1080" w:bottom="1440" w:left="1080" w:header="851" w:footer="992" w:gutter="0"/>
          <w:cols w:num="1" w:sep="0" w:space="1701" w:equalWidth="1"/>
          <w:docGrid w:linePitch="360"/>
          <w:titlePg/>
        </w:sectPr>
      </w:pP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5</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、本表中的报价已包括公共责任险（第三者险），中标单位未及时投保所造成的损害责任由中标单位承担。</w:t>
      </w:r>
      <w:r/>
    </w:p>
    <w:p>
      <w:pPr>
        <w:jc w:val="left"/>
        <w:shd w:val="clear" w:color="auto"/>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outlineLvl w:val="1"/>
      </w:pPr>
      <w:r/>
      <w:bookmarkStart w:id="122" w:name="_Toc11817"/>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四、资格证明文件</w:t>
      </w:r>
      <w:bookmarkEnd w:id="122"/>
      <w:r/>
      <w:r/>
    </w:p>
    <w:p>
      <w:pPr>
        <w:pStyle w:val="1386"/>
        <w:ind w:firstLine="482"/>
        <w:keepLines w:val="0"/>
        <w:keepNext w:val="0"/>
        <w:pageBreakBefore w:val="0"/>
        <w:spacing w:line="520" w:lineRule="exact"/>
        <w:shd w:val="clear" w:color="auto" w:fill="auto"/>
        <w:widowControl/>
        <w:rPr>
          <w:rStyle w:val="1352"/>
          <w:rFonts w:hint="eastAsia" w:ascii="宋体" w:hAnsi="宋体" w:eastAsia="宋体" w:cs="宋体"/>
          <w:b/>
          <w:bCs w:val="0"/>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bCs w:val="0"/>
          <w:i/>
          <w:iCs/>
          <w:color w:val="000000" w:themeColor="text1"/>
          <w:sz w:val="24"/>
          <w:szCs w:val="24"/>
          <w:highlight w:val="none"/>
          <w:u w:val="single"/>
          <w14:textFill>
            <w14:solidFill>
              <w14:schemeClr w14:val="tx1"/>
            </w14:solidFill>
          </w14:textFill>
        </w:rPr>
        <w:t xml:space="preserve">投标人必须在投标文件提交截止时间之前递交以下资格证明文件：</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bCs w:val="0"/>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bCs w:val="0"/>
          <w:i/>
          <w:iCs/>
          <w:color w:val="000000" w:themeColor="text1"/>
          <w:sz w:val="24"/>
          <w:szCs w:val="24"/>
          <w:highlight w:val="none"/>
          <w:u w:val="single"/>
          <w14:textFill>
            <w14:solidFill>
              <w14:schemeClr w14:val="tx1"/>
            </w14:solidFill>
          </w14:textFill>
        </w:rPr>
        <w:t xml:space="preserve">（一）满足《中华人民共和国政府采购法》第二十二条规定：</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1</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2</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财务状况报告（成立不满一年不需要提供）；</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3</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依法缴纳税收和社会保障资金的相关材料（如依法享受缓缴、免缴税收、社会保障资金的，应提供相关证明材料）；</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4</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具备履行合同所必需的设备和专业技术能力的书面声明（格式见后）；</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5</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参加政府采购活动前3年内在经营活动中没有重大违法记录的书面声明（格式见后）；</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6.</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提供授权委托书（被授权人非法定代表人的，应提供授权委托书；被授权人是法定代表人的，应提供授权委托书或法定代表人身份证明书。格式见后）；</w:t>
      </w:r>
      <w:r/>
    </w:p>
    <w:p>
      <w:pPr>
        <w:pStyle w:val="1386"/>
        <w:ind w:firstLine="480"/>
        <w:keepLines w:val="0"/>
        <w:keepNext w:val="0"/>
        <w:pageBreakBefore w:val="0"/>
        <w:spacing w:line="520" w:lineRule="exact"/>
        <w:shd w:val="clear" w:color="auto" w:fill="auto"/>
        <w:widowControl/>
        <w:rPr>
          <w:rStyle w:val="1352"/>
          <w:rFonts w:hint="default" w:ascii="宋体" w:hAnsi="宋体" w:eastAsia="宋体" w:cs="宋体"/>
          <w:b w:val="0"/>
          <w:bCs/>
          <w:i/>
          <w:iCs/>
          <w:color w:val="000000" w:themeColor="text1"/>
          <w:sz w:val="24"/>
          <w:szCs w:val="24"/>
          <w:highlight w:val="none"/>
          <w:u w:val="single"/>
          <w:lang w:val="en-US"/>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7</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关于资格证明文件的书面承诺（格式见后）。</w:t>
      </w:r>
      <w:r/>
    </w:p>
    <w:p>
      <w:pPr>
        <w:pStyle w:val="1386"/>
        <w:ind w:firstLine="480"/>
        <w:keepLines w:val="0"/>
        <w:keepNext w:val="0"/>
        <w:pageBreakBefore w:val="0"/>
        <w:spacing w:line="520" w:lineRule="exact"/>
        <w:shd w:val="clear" w:color="auto" w:fill="auto"/>
        <w:widowControl/>
        <w:rPr>
          <w:rStyle w:val="1352"/>
          <w:rFonts w:hint="default" w:ascii="宋体" w:hAnsi="宋体" w:eastAsia="宋体" w:cs="宋体"/>
          <w:b/>
          <w:bCs w:val="0"/>
          <w:i/>
          <w:iCs/>
          <w:color w:val="000000" w:themeColor="text1"/>
          <w:sz w:val="24"/>
          <w:szCs w:val="24"/>
          <w:highlight w:val="none"/>
          <w:u w:val="single"/>
          <w14:textFill>
            <w14:solidFill>
              <w14:schemeClr w14:val="tx1"/>
            </w14:solidFill>
          </w14:textFill>
        </w:rPr>
        <w:outlineLvl w:val="2"/>
      </w:pPr>
      <w:r>
        <w:rPr>
          <w:rStyle w:val="1352"/>
          <w:rFonts w:hint="default" w:ascii="宋体" w:hAnsi="宋体" w:eastAsia="宋体" w:cs="宋体"/>
          <w:b/>
          <w:bCs w:val="0"/>
          <w:i/>
          <w:iCs/>
          <w:color w:val="000000" w:themeColor="text1"/>
          <w:sz w:val="24"/>
          <w:szCs w:val="24"/>
          <w:highlight w:val="none"/>
          <w:u w:val="single"/>
          <w:lang w:eastAsia="zh-CN"/>
          <w14:textFill>
            <w14:solidFill>
              <w14:schemeClr w14:val="tx1"/>
            </w14:solidFill>
          </w14:textFill>
        </w:rPr>
        <w:t xml:space="preserve">（</w:t>
      </w:r>
      <w:r>
        <w:rPr>
          <w:rStyle w:val="1352"/>
          <w:rFonts w:hint="default" w:ascii="宋体" w:hAnsi="宋体" w:eastAsia="宋体" w:cs="宋体"/>
          <w:b/>
          <w:bCs w:val="0"/>
          <w:i/>
          <w:iCs/>
          <w:color w:val="000000" w:themeColor="text1"/>
          <w:sz w:val="24"/>
          <w:szCs w:val="24"/>
          <w:highlight w:val="none"/>
          <w:u w:val="single"/>
          <w:lang w:val="en-US" w:eastAsia="zh-CN"/>
          <w14:textFill>
            <w14:solidFill>
              <w14:schemeClr w14:val="tx1"/>
            </w14:solidFill>
          </w14:textFill>
        </w:rPr>
        <w:t xml:space="preserve">二</w:t>
      </w:r>
      <w:r>
        <w:rPr>
          <w:rStyle w:val="1352"/>
          <w:rFonts w:hint="default" w:ascii="宋体" w:hAnsi="宋体" w:eastAsia="宋体" w:cs="宋体"/>
          <w:b/>
          <w:bCs w:val="0"/>
          <w:i/>
          <w:iCs/>
          <w:color w:val="000000" w:themeColor="text1"/>
          <w:sz w:val="24"/>
          <w:szCs w:val="24"/>
          <w:highlight w:val="none"/>
          <w:u w:val="single"/>
          <w:lang w:eastAsia="zh-CN"/>
          <w14:textFill>
            <w14:solidFill>
              <w14:schemeClr w14:val="tx1"/>
            </w14:solidFill>
          </w14:textFill>
        </w:rPr>
        <w:t xml:space="preserve">）</w:t>
      </w:r>
      <w:r>
        <w:rPr>
          <w:rStyle w:val="1352"/>
          <w:rFonts w:hint="default" w:ascii="宋体" w:hAnsi="宋体" w:eastAsia="宋体" w:cs="宋体"/>
          <w:b/>
          <w:bCs w:val="0"/>
          <w:i/>
          <w:iCs/>
          <w:color w:val="000000" w:themeColor="text1"/>
          <w:sz w:val="24"/>
          <w:szCs w:val="24"/>
          <w:highlight w:val="none"/>
          <w:u w:val="single"/>
          <w14:textFill>
            <w14:solidFill>
              <w14:schemeClr w14:val="tx1"/>
            </w14:solidFill>
          </w14:textFill>
        </w:rPr>
        <w:t xml:space="preserve">落实政府采购政策需满足的资格要求</w:t>
      </w:r>
      <w:r>
        <w:rPr>
          <w:rStyle w:val="1352"/>
          <w:rFonts w:hint="eastAsia" w:ascii="宋体" w:hAnsi="宋体" w:eastAsia="宋体" w:cs="宋体"/>
          <w:b/>
          <w:bCs w:val="0"/>
          <w:i/>
          <w:iCs/>
          <w:color w:val="000000" w:themeColor="text1"/>
          <w:sz w:val="24"/>
          <w:szCs w:val="24"/>
          <w:highlight w:val="none"/>
          <w:u w:val="single"/>
          <w14:textFill>
            <w14:solidFill>
              <w14:schemeClr w14:val="tx1"/>
            </w14:solidFill>
          </w14:textFill>
        </w:rPr>
        <w:t xml:space="preserve">：</w:t>
      </w:r>
      <w:r/>
    </w:p>
    <w:p>
      <w:pPr>
        <w:ind w:firstLine="480"/>
        <w:keepLines w:val="0"/>
        <w:keepNext w:val="0"/>
        <w:pageBreakBefore w:val="0"/>
        <w:spacing w:line="520" w:lineRule="exact"/>
        <w:widowControl/>
        <w:rPr>
          <w:rStyle w:val="1352"/>
          <w:rFonts w:hint="default" w:ascii="宋体" w:hAnsi="宋体" w:eastAsia="宋体" w:cs="宋体"/>
          <w:b w:val="0"/>
          <w:bCs/>
          <w:i/>
          <w:iCs/>
          <w:color w:val="000000" w:themeColor="text1"/>
          <w:sz w:val="24"/>
          <w:szCs w:val="24"/>
          <w:highlight w:val="none"/>
          <w:u w:val="single"/>
          <w:lang w:val="en-US"/>
          <w14:textFill>
            <w14:solidFill>
              <w14:schemeClr w14:val="tx1"/>
            </w14:solidFill>
          </w14:textFill>
        </w:rPr>
      </w:pPr>
      <w:r>
        <w:rPr>
          <w:rStyle w:val="1352"/>
          <w:rFonts w:hint="eastAsia" w:ascii="宋体" w:hAnsi="宋体" w:cs="宋体"/>
          <w:b w:val="0"/>
          <w:bCs/>
          <w:i/>
          <w:iCs/>
          <w:color w:val="000000" w:themeColor="text1"/>
          <w:sz w:val="24"/>
          <w:szCs w:val="24"/>
          <w:highlight w:val="none"/>
          <w:u w:val="single"/>
          <w:lang w:val="en-US"/>
          <w14:textFill>
            <w14:solidFill>
              <w14:schemeClr w14:val="tx1"/>
            </w14:solidFill>
          </w14:textFill>
        </w:rPr>
        <w:t xml:space="preserve">1</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中小企业声明函等（格式见后）。</w:t>
      </w:r>
      <w:r/>
    </w:p>
    <w:p>
      <w:pPr>
        <w:pStyle w:val="1386"/>
        <w:ind w:firstLine="480"/>
        <w:keepLines w:val="0"/>
        <w:keepNext w:val="0"/>
        <w:pageBreakBefore w:val="0"/>
        <w:spacing w:line="520" w:lineRule="exact"/>
        <w:shd w:val="clear" w:color="auto" w:fill="auto"/>
        <w:widowControl/>
        <w:rPr>
          <w:rStyle w:val="1352"/>
          <w:rFonts w:hint="default" w:ascii="宋体" w:hAnsi="宋体" w:eastAsia="宋体" w:cs="宋体"/>
          <w:b/>
          <w:bCs w:val="0"/>
          <w:i/>
          <w:iCs/>
          <w:color w:val="000000" w:themeColor="text1"/>
          <w:sz w:val="24"/>
          <w:szCs w:val="24"/>
          <w:highlight w:val="none"/>
          <w:u w:val="single"/>
          <w14:textFill>
            <w14:solidFill>
              <w14:schemeClr w14:val="tx1"/>
            </w14:solidFill>
          </w14:textFill>
        </w:rPr>
        <w:outlineLvl w:val="2"/>
      </w:pPr>
      <w:r>
        <w:rPr>
          <w:rStyle w:val="1352"/>
          <w:rFonts w:hint="default" w:ascii="宋体" w:hAnsi="宋体" w:eastAsia="宋体" w:cs="宋体"/>
          <w:b/>
          <w:bCs w:val="0"/>
          <w:i/>
          <w:iCs/>
          <w:color w:val="000000" w:themeColor="text1"/>
          <w:sz w:val="24"/>
          <w:szCs w:val="24"/>
          <w:highlight w:val="none"/>
          <w:u w:val="single"/>
          <w:lang w:eastAsia="zh-CN"/>
          <w14:textFill>
            <w14:solidFill>
              <w14:schemeClr w14:val="tx1"/>
            </w14:solidFill>
          </w14:textFill>
        </w:rPr>
        <w:t xml:space="preserve">（</w:t>
      </w:r>
      <w:r>
        <w:rPr>
          <w:rStyle w:val="1352"/>
          <w:rFonts w:hint="default" w:ascii="宋体" w:hAnsi="宋体" w:eastAsia="宋体" w:cs="宋体"/>
          <w:b/>
          <w:bCs w:val="0"/>
          <w:i/>
          <w:iCs/>
          <w:color w:val="000000" w:themeColor="text1"/>
          <w:sz w:val="24"/>
          <w:szCs w:val="24"/>
          <w:highlight w:val="none"/>
          <w:u w:val="single"/>
          <w:lang w:val="en-US" w:eastAsia="zh-CN"/>
          <w14:textFill>
            <w14:solidFill>
              <w14:schemeClr w14:val="tx1"/>
            </w14:solidFill>
          </w14:textFill>
        </w:rPr>
        <w:t xml:space="preserve">三</w:t>
      </w:r>
      <w:r>
        <w:rPr>
          <w:rStyle w:val="1352"/>
          <w:rFonts w:hint="default" w:ascii="宋体" w:hAnsi="宋体" w:eastAsia="宋体" w:cs="宋体"/>
          <w:b/>
          <w:bCs w:val="0"/>
          <w:i/>
          <w:iCs/>
          <w:color w:val="000000" w:themeColor="text1"/>
          <w:sz w:val="24"/>
          <w:szCs w:val="24"/>
          <w:highlight w:val="none"/>
          <w:u w:val="single"/>
          <w:lang w:eastAsia="zh-CN"/>
          <w14:textFill>
            <w14:solidFill>
              <w14:schemeClr w14:val="tx1"/>
            </w14:solidFill>
          </w14:textFill>
        </w:rPr>
        <w:t xml:space="preserve">）</w:t>
      </w:r>
      <w:r>
        <w:rPr>
          <w:rStyle w:val="1352"/>
          <w:rFonts w:hint="default" w:ascii="宋体" w:hAnsi="宋体" w:eastAsia="宋体" w:cs="宋体"/>
          <w:b/>
          <w:bCs w:val="0"/>
          <w:i/>
          <w:iCs/>
          <w:color w:val="000000" w:themeColor="text1"/>
          <w:sz w:val="24"/>
          <w:szCs w:val="24"/>
          <w:highlight w:val="none"/>
          <w:u w:val="single"/>
          <w14:textFill>
            <w14:solidFill>
              <w14:schemeClr w14:val="tx1"/>
            </w14:solidFill>
          </w14:textFill>
        </w:rPr>
        <w:t xml:space="preserve">本项目的特定资格要求：</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1.具有有效期内的《医疗机构执业许可证》，许可范围包含心电诊断</w:t>
      </w:r>
      <w:r>
        <w:rPr>
          <w:rStyle w:val="1352"/>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（提供相关证明材料）；</w:t>
      </w:r>
      <w:r/>
    </w:p>
    <w:p>
      <w:pPr>
        <w:pStyle w:val="1386"/>
        <w:ind w:firstLine="480"/>
        <w:keepLines w:val="0"/>
        <w:keepNext w:val="0"/>
        <w:pageBreakBefore w:val="0"/>
        <w:spacing w:line="520" w:lineRule="exact"/>
        <w:shd w:val="clear" w:color="auto" w:fill="auto"/>
        <w:widowControl/>
        <w:rPr>
          <w:rStyle w:val="1352"/>
          <w:rFonts w:hint="default" w:ascii="宋体" w:hAnsi="宋体" w:eastAsia="宋体" w:cs="宋体"/>
          <w:b w:val="0"/>
          <w:bCs/>
          <w:i/>
          <w:iCs/>
          <w:color w:val="000000" w:themeColor="text1"/>
          <w:sz w:val="24"/>
          <w:szCs w:val="24"/>
          <w:highlight w:val="none"/>
          <w:u w:val="single"/>
          <w:lang w:val="en-US" w:eastAsia="zh-CN"/>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2.</w:t>
      </w:r>
      <w:r>
        <w:rPr>
          <w:rStyle w:val="1352"/>
          <w:rFonts w:hint="default"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不存在与参加本项目的其他供应商单位负责人为同一人或者存在直接控股、管理关系承诺</w:t>
      </w:r>
      <w:r>
        <w:rPr>
          <w:rStyle w:val="1352"/>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（格式见后）</w:t>
      </w:r>
      <w:r>
        <w:rPr>
          <w:rStyle w:val="1352"/>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w:t>
      </w:r>
      <w:r/>
    </w:p>
    <w:p>
      <w:pPr>
        <w:pStyle w:val="1386"/>
        <w:ind w:firstLine="480"/>
        <w:keepLines w:val="0"/>
        <w:keepNext w:val="0"/>
        <w:pageBreakBefore w:val="0"/>
        <w:spacing w:line="520" w:lineRule="exact"/>
        <w:shd w:val="clear" w:color="auto" w:fill="auto"/>
        <w:widowControl/>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outlineLvl w:val="2"/>
      </w:pPr>
      <w:r>
        <w:rPr>
          <w:rStyle w:val="1352"/>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3.未被“信用中国”网站（www.creditchina.gov.cn）列入失信被执行人、重大税收违法案件当事人名单、政府采购严重失信行为记录名单（提供相关证明材料）</w:t>
      </w:r>
      <w:r>
        <w:rPr>
          <w:rStyle w:val="1352"/>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p>
    <w:p>
      <w:pPr>
        <w:pStyle w:val="1386"/>
        <w:rPr>
          <w:rStyle w:val="1352"/>
          <w:rFonts w:hint="eastAsia" w:ascii="宋体" w:hAnsi="宋体" w:eastAsia="宋体" w:cs="宋体"/>
          <w:b/>
          <w:color w:val="000000" w:themeColor="text1"/>
          <w:sz w:val="28"/>
          <w:highlight w:val="none"/>
          <w14:textFill>
            <w14:solidFill>
              <w14:schemeClr w14:val="tx1"/>
            </w14:solidFill>
          </w14:textFill>
        </w:rPr>
        <w:outlineLvl w:val="2"/>
      </w:pPr>
      <w:r/>
      <w:bookmarkStart w:id="135" w:name="_GoBack"/>
      <w:r/>
      <w:bookmarkEnd w:id="135"/>
      <w:r/>
      <w:r/>
    </w:p>
    <w:p>
      <w:pPr>
        <w:pStyle w:val="1386"/>
        <w:rPr>
          <w:rStyle w:val="1352"/>
          <w:rFonts w:hint="eastAsia" w:ascii="宋体" w:hAnsi="宋体" w:eastAsia="宋体" w:cs="宋体"/>
          <w:b/>
          <w:color w:val="000000" w:themeColor="text1"/>
          <w:sz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2"/>
      </w:pPr>
      <w:r>
        <w:rPr>
          <w:rFonts w:hint="eastAsia" w:ascii="宋体" w:hAnsi="宋体" w:eastAsia="宋体" w:cs="宋体"/>
          <w:b/>
          <w:color w:val="000000" w:themeColor="text1"/>
          <w:sz w:val="28"/>
          <w:highlight w:val="none"/>
          <w14:textFill>
            <w14:solidFill>
              <w14:schemeClr w14:val="tx1"/>
            </w14:solidFill>
          </w14:textFill>
        </w:rPr>
      </w:r>
      <w:r/>
    </w:p>
    <w:p>
      <w:pPr>
        <w:pStyle w:val="1386"/>
        <w:jc w:val="left"/>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2"/>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法人或者其他组织的营业执照等证明文件，自然人的身份证明</w:t>
      </w:r>
      <w:r/>
    </w:p>
    <w:p>
      <w:pPr>
        <w:pStyle w:val="1387"/>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1"/>
        <w:jc w:val="center"/>
        <w:keepLines w:val="0"/>
        <w:keepNext w:val="0"/>
        <w:pageBreakBefore w:val="0"/>
        <w:spacing w:before="567" w:after="567"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法人或者其他组织的营业执照等证明文件，自然人的身份证明</w:t>
      </w:r>
      <w:r/>
    </w:p>
    <w:p>
      <w:pPr>
        <w:pStyle w:val="1387"/>
        <w:jc w:val="left"/>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7"/>
        <w:jc w:val="left"/>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7"/>
        <w:jc w:val="left"/>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7"/>
        <w:ind w:firstLine="480"/>
        <w:jc w:val="left"/>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87"/>
        <w:jc w:val="left"/>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87"/>
        <w:jc w:val="left"/>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88"/>
        <w:jc w:val="left"/>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2"/>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财务状况报告（成立不满一年不需要提供）</w:t>
      </w:r>
      <w:r/>
    </w:p>
    <w:p>
      <w:pPr>
        <w:pStyle w:val="1389"/>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1"/>
        <w:jc w:val="center"/>
        <w:keepLines w:val="0"/>
        <w:keepNext w:val="0"/>
        <w:pageBreakBefore w:val="0"/>
        <w:spacing w:before="567" w:after="567"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近年财务状况表</w:t>
      </w:r>
      <w:r/>
    </w:p>
    <w:p>
      <w:pPr>
        <w:pStyle w:val="1389"/>
        <w:keepLines w:val="0"/>
        <w:keepNext w:val="0"/>
        <w:pageBreakBefore w:val="0"/>
        <w:spacing w:line="520" w:lineRule="exact"/>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389"/>
        <w:keepLines w:val="0"/>
        <w:keepNext w:val="0"/>
        <w:pageBreakBefore w:val="0"/>
        <w:spacing w:line="520" w:lineRule="exact"/>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390"/>
        <w:spacing w:line="520" w:lineRule="exact"/>
        <w:rPr>
          <w:rStyle w:val="1352"/>
          <w:rFonts w:hint="eastAsia" w:ascii="宋体" w:hAnsi="宋体" w:eastAsia="宋体" w:cs="宋体"/>
          <w:b/>
          <w:color w:val="000000" w:themeColor="text1"/>
          <w:spacing w:val="0"/>
          <w:sz w:val="28"/>
          <w:highlight w:val="none"/>
          <w14:textFill>
            <w14:solidFill>
              <w14:schemeClr w14:val="tx1"/>
            </w14:solidFill>
          </w14:textFill>
        </w:rPr>
        <w:outlineLvl w:val="2"/>
      </w:pPr>
      <w:r>
        <w:rPr>
          <w:rStyle w:val="1352"/>
          <w:rFonts w:hint="eastAsia" w:ascii="宋体" w:hAnsi="宋体" w:eastAsia="宋体" w:cs="宋体"/>
          <w:b/>
          <w:color w:val="000000" w:themeColor="text1"/>
          <w:spacing w:val="0"/>
          <w:sz w:val="28"/>
          <w:highlight w:val="none"/>
          <w14:textFill>
            <w14:solidFill>
              <w14:schemeClr w14:val="tx1"/>
            </w14:solidFill>
          </w14:textFill>
        </w:rPr>
        <w:t xml:space="preserve">依法缴纳税收和社会保障资金的相关材料</w:t>
      </w:r>
      <w:r/>
    </w:p>
    <w:p>
      <w:pPr>
        <w:pStyle w:val="1387"/>
        <w:spacing w:before="240" w:after="240"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381"/>
        <w:jc w:val="center"/>
        <w:spacing w:before="567" w:after="567"/>
        <w:rPr>
          <w:rStyle w:val="1352"/>
          <w:rFonts w:hint="eastAsia" w:ascii="宋体" w:hAnsi="宋体" w:eastAsia="宋体" w:cs="宋体"/>
          <w:b/>
          <w:bCs/>
          <w:color w:val="000000" w:themeColor="text1"/>
          <w:spacing w:val="0"/>
          <w:sz w:val="36"/>
          <w:szCs w:val="36"/>
          <w:highlight w:val="none"/>
          <w14:textFill>
            <w14:solidFill>
              <w14:schemeClr w14:val="tx1"/>
            </w14:solidFill>
          </w14:textFill>
        </w:rPr>
      </w:pPr>
      <w:r>
        <w:rPr>
          <w:rStyle w:val="1352"/>
          <w:rFonts w:hint="eastAsia" w:ascii="宋体" w:hAnsi="宋体" w:eastAsia="宋体" w:cs="宋体"/>
          <w:b/>
          <w:bCs/>
          <w:color w:val="000000" w:themeColor="text1"/>
          <w:spacing w:val="0"/>
          <w:sz w:val="36"/>
          <w:szCs w:val="36"/>
          <w:highlight w:val="none"/>
          <w14:textFill>
            <w14:solidFill>
              <w14:schemeClr w14:val="tx1"/>
            </w14:solidFill>
          </w14:textFill>
        </w:rPr>
        <w:t xml:space="preserve">依法缴纳税收和社会保障资金的相关材料</w:t>
      </w:r>
      <w:r/>
    </w:p>
    <w:p>
      <w:pPr>
        <w:pStyle w:val="1387"/>
        <w:spacing w:before="240" w:after="240"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387"/>
        <w:spacing w:before="240" w:after="240"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387"/>
        <w:ind w:firstLine="480"/>
        <w:spacing w:before="240" w:after="240"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Style w:val="1352"/>
          <w:rFonts w:hint="eastAsia" w:ascii="宋体" w:hAnsi="宋体" w:eastAsia="宋体" w:cs="宋体"/>
          <w:color w:val="000000" w:themeColor="text1"/>
          <w:spacing w:val="0"/>
          <w:sz w:val="24"/>
          <w:szCs w:val="24"/>
          <w:highlight w:val="none"/>
          <w14:textFill>
            <w14:solidFill>
              <w14:schemeClr w14:val="tx1"/>
            </w14:solidFill>
          </w14:textFill>
        </w:rPr>
        <w:t xml:space="preserve">注：如依法享受缓缴、免缴税收、社会保障资金的，应提供相关证明材料。</w:t>
      </w:r>
      <w:r/>
    </w:p>
    <w:p>
      <w:pPr>
        <w:pStyle w:val="1387"/>
        <w:spacing w:before="240" w:after="240"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387"/>
        <w:spacing w:before="240" w:after="240" w:line="520" w:lineRule="exact"/>
        <w:rPr>
          <w:rStyle w:val="1352"/>
          <w:rFonts w:hint="eastAsia" w:ascii="宋体" w:hAnsi="宋体" w:eastAsia="宋体" w:cs="宋体"/>
          <w:color w:val="000000" w:themeColor="text1"/>
          <w:spacing w:val="0"/>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390"/>
        <w:jc w:val="left"/>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2"/>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具备履行合同所必需的设备和专业技术能力的书面声明</w:t>
      </w:r>
      <w:r/>
    </w:p>
    <w:p>
      <w:pPr>
        <w:pStyle w:val="1391"/>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w:t>
      </w:r>
      <w:r/>
    </w:p>
    <w:p>
      <w:pPr>
        <w:pStyle w:val="1381"/>
        <w:jc w:val="center"/>
        <w:keepLines w:val="0"/>
        <w:keepNext w:val="0"/>
        <w:pageBreakBefore w:val="0"/>
        <w:spacing w:before="567" w:after="567"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具备履行合同所必需的设备和专业技术能力的书面声明</w:t>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320" w:after="320" w:line="520" w:lineRule="exact"/>
        <w:shd w:val="clear" w:color="auto" w:fill="auto"/>
        <w:widowControl/>
        <w:rPr>
          <w:rStyle w:val="1352"/>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ind w:firstLine="480"/>
        <w:jc w:val="both"/>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我单位郑重声明：我单位具备履行本项采购合同所必需的设备和专业技术能力。</w:t>
      </w:r>
      <w:r/>
    </w:p>
    <w:p>
      <w:pPr>
        <w:pStyle w:val="1391"/>
        <w:jc w:val="center"/>
        <w:keepLines w:val="0"/>
        <w:keepNext w:val="0"/>
        <w:pageBreakBefore w:val="0"/>
        <w:spacing w:before="360" w:after="36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360" w:after="36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360" w:after="36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ind w:firstLine="3600"/>
        <w:keepLines w:val="0"/>
        <w:keepNext w:val="0"/>
        <w:pageBreakBefore w:val="0"/>
        <w:spacing w:before="210" w:after="21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人名称</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392"/>
        <w:jc w:val="left"/>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2"/>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参加政府采购活动前3年内在经营活动中没有重大违法记录的书面声明</w:t>
      </w:r>
      <w:r/>
    </w:p>
    <w:p>
      <w:pPr>
        <w:pStyle w:val="1393"/>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1"/>
        <w:jc w:val="center"/>
        <w:keepLines w:val="0"/>
        <w:keepNext w:val="0"/>
        <w:pageBreakBefore w:val="0"/>
        <w:spacing w:before="567" w:after="567"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参加政府采购活动前3年内在经营活动中没有重大违法记录的书面声明</w:t>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both"/>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1"/>
        <w:jc w:val="center"/>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3"/>
        <w:ind w:firstLine="4320"/>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人名称</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394"/>
        <w:spacing w:line="520" w:lineRule="exact"/>
        <w:shd w:val="clear" w:color="auto" w:fill="auto"/>
        <w:rPr>
          <w:rFonts w:hint="eastAsia" w:ascii="宋体" w:hAnsi="宋体" w:eastAsia="宋体" w:cs="宋体"/>
          <w:color w:val="auto"/>
          <w:spacing w:val="0"/>
          <w:highlight w:val="none"/>
        </w:rPr>
        <w:outlineLvl w:val="2"/>
      </w:pPr>
      <w:r>
        <w:rPr>
          <w:rFonts w:hint="eastAsia" w:ascii="宋体" w:hAnsi="宋体" w:eastAsia="宋体" w:cs="宋体"/>
          <w:b/>
          <w:color w:val="auto"/>
          <w:spacing w:val="0"/>
          <w:sz w:val="28"/>
          <w:szCs w:val="22"/>
          <w:highlight w:val="none"/>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1.授权委托书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2.法定代表人身份证明书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pStyle w:val="1396"/>
        <w:jc w:val="left"/>
        <w:shd w:val="clear" w:color="auto" w:fill="auto"/>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2"/>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关于资格证明文件的书面承诺</w:t>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81"/>
        <w:jc w:val="center"/>
        <w:keepLines w:val="0"/>
        <w:keepNext w:val="0"/>
        <w:pageBreakBefore w:val="0"/>
        <w:spacing w:before="567" w:after="567"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关于资格证明文件的书面承诺</w:t>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97"/>
        <w:ind w:firstLine="480"/>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91"/>
        <w:jc w:val="center"/>
        <w:keepLines w:val="0"/>
        <w:keepNext w:val="0"/>
        <w:pageBreakBefore w:val="0"/>
        <w:spacing w:line="520" w:lineRule="exact"/>
        <w:shd w:val="clear" w:color="auto" w:fill="auto"/>
        <w:widowControl/>
        <w:rPr>
          <w:rStyle w:val="135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97"/>
        <w:ind w:firstLine="3840"/>
        <w:keepLines w:val="0"/>
        <w:keepNext w:val="0"/>
        <w:pageBreakBefore w:val="0"/>
        <w:spacing w:before="240" w:after="240" w:line="52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352"/>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人名称</w:t>
      </w: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398"/>
        <w:jc w:val="left"/>
        <w:shd w:val="clear" w:color="auto" w:fill="auto"/>
        <w:rPr>
          <w:rStyle w:val="1352"/>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r>
      <w:r/>
    </w:p>
    <w:p>
      <w:pPr>
        <w:pStyle w:val="1396"/>
        <w:jc w:val="left"/>
        <w:shd w:val="clear" w:color="auto" w:fill="auto"/>
        <w:rPr>
          <w:rStyle w:val="1352"/>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outlineLvl w:val="2"/>
      </w:pPr>
      <w:r>
        <w:rPr>
          <w:rStyle w:val="1352"/>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 xml:space="preserve">中小企业声明函（本项目专门面向中小企业采购）</w:t>
      </w:r>
      <w:r/>
    </w:p>
    <w:p>
      <w:pPr>
        <w:pStyle w:val="1381"/>
        <w:jc w:val="center"/>
        <w:keepLines w:val="0"/>
        <w:keepNext w:val="0"/>
        <w:pageBreakBefore w:val="0"/>
        <w:spacing w:before="567" w:after="567" w:line="52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中小企业声明函（服务）</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本公司郑重声明，根据《政府采购促进中小企业发展管理办法》</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财库〔2020〕46号)的规定，本公司参加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（单位名称）的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（项目名称）采购活动，服务全部由符合政策要求的中小企业承接。相关企业的具体情况如下：</w:t>
      </w:r>
      <w:r/>
    </w:p>
    <w:p>
      <w:pPr>
        <w:ind w:firstLine="480"/>
        <w:jc w:val="left"/>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张家港市第一人民医院心电监测服务项目</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（标的名称），</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其他未列明行业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（采购文件中明确的所属行业）；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承接企业为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（企业名称），从业人员</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人，营业收入为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万元，资产总额为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万元，属于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（中型企业、小型企业、微型企业）；</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本企业对上述声明内容的真实性负责。如有虚假，将依法承担相应责任。</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企业名称（盖章）：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注：供应商对照《关于印发中小企业划型标准规定的通知》（工信部联企业【2011】300号）中的标准，明确标的承接企业所属企业类型。</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备注：</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520" w:lineRule="exact"/>
        <w:shd w:val="clear" w:color="auto" w:fill="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服务类项目中供应商若使用退休人员，将不享受相应扶持政策。</w:t>
      </w:r>
      <w:r/>
    </w:p>
    <w:p>
      <w:pPr>
        <w:pStyle w:val="1399"/>
        <w:spacing w:before="240" w:after="240"/>
        <w:shd w:val="clear" w:color="auto" w:fill="auto"/>
        <w:rPr>
          <w:rFonts w:hint="eastAsia" w:ascii="宋体" w:hAnsi="宋体" w:eastAsia="宋体" w:cs="宋体"/>
          <w:color w:val="000000" w:themeColor="text1"/>
          <w:spacing w:val="0"/>
          <w:highlight w:val="none"/>
          <w14:textFill>
            <w14:solidFill>
              <w14:schemeClr w14:val="tx1"/>
            </w14:solidFill>
          </w14:textFill>
        </w:rPr>
        <w:sectPr>
          <w:footnotePr/>
          <w:endnotePr/>
          <w:type w:val="nextPage"/>
          <w:pgSz w:w="11906" w:h="16838" w:orient="portrait"/>
          <w:pgMar w:top="1440" w:right="1080" w:bottom="1440" w:left="1080" w:header="709" w:footer="709" w:gutter="0"/>
          <w:cols w:num="1" w:sep="0" w:space="1701" w:equalWidth="1"/>
          <w:docGrid w:linePitch="360"/>
          <w:titlePg/>
        </w:sectPr>
      </w:pPr>
      <w:r>
        <w:rPr>
          <w:rFonts w:hint="eastAsia" w:ascii="宋体" w:hAnsi="宋体" w:eastAsia="宋体" w:cs="宋体"/>
          <w:color w:val="000000" w:themeColor="text1"/>
          <w:spacing w:val="0"/>
          <w:highlight w:val="none"/>
          <w14:textFill>
            <w14:solidFill>
              <w14:schemeClr w14:val="tx1"/>
            </w14:solidFill>
          </w14:textFill>
        </w:rPr>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附：中小企业划型标准规定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399"/>
        <w:keepLines w:val="0"/>
        <w:keepNext w:val="0"/>
        <w:pageBreakBefore w:val="0"/>
        <w:spacing w:before="240" w:after="240"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99"/>
        <w:keepLines w:val="0"/>
        <w:keepNext w:val="0"/>
        <w:pageBreakBefore w:val="0"/>
        <w:spacing w:before="240" w:after="240" w:line="360" w:lineRule="exact"/>
        <w:shd w:val="clear" w:color="auto" w:fill="auto"/>
        <w:widowControl/>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352"/>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400"/>
        <w:jc w:val="left"/>
        <w:keepLines w:val="0"/>
        <w:keepNext w:val="0"/>
        <w:pageBreakBefore w:val="0"/>
        <w:spacing w:line="36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outlineLvl w:val="9"/>
      </w:pPr>
      <w:r/>
      <w:bookmarkStart w:id="123" w:name="undefined"/>
      <w:r>
        <w:rPr>
          <w:rStyle w:val="1352"/>
          <w:rFonts w:hint="eastAsia" w:ascii="宋体" w:hAnsi="宋体" w:eastAsia="宋体" w:cs="宋体"/>
          <w:b/>
          <w:caps w:val="0"/>
          <w:smallCaps w:val="0"/>
          <w:color w:val="000000" w:themeColor="text1"/>
          <w:spacing w:val="0"/>
          <w:sz w:val="32"/>
          <w:szCs w:val="24"/>
          <w:highlight w:val="none"/>
          <w:shd w:val="clear" w:color="auto" w:fill="auto"/>
          <w14:textFill>
            <w14:solidFill>
              <w14:schemeClr w14:val="tx1"/>
            </w14:solidFill>
          </w14:textFill>
        </w:rPr>
        <w:t xml:space="preserve">残疾人福利性单位声明函</w:t>
      </w:r>
      <w:bookmarkEnd w:id="123"/>
      <w:r/>
      <w:r/>
    </w:p>
    <w:p>
      <w:pPr>
        <w:pStyle w:val="1381"/>
        <w:jc w:val="center"/>
        <w:keepLines w:val="0"/>
        <w:keepNext w:val="0"/>
        <w:pageBreakBefore w:val="0"/>
        <w:spacing w:before="567" w:after="567" w:line="52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﻿残疾人福利性单位声明函</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单位的</w:t>
      </w:r>
      <w:r>
        <w:rPr>
          <w:rFonts w:hint="eastAsia" w:ascii="宋体" w:hAnsi="宋体" w:eastAsia="宋体" w:cs="宋体"/>
          <w:color w:val="000000" w:themeColor="text1"/>
          <w:spacing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本单位对上述声明的真实性负责。如有虚假，将依法承担相应责任。</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单位名称（盖章）：</w:t>
      </w:r>
      <w:r/>
    </w:p>
    <w:p>
      <w:pPr>
        <w:ind w:firstLine="480"/>
        <w:keepLines w:val="0"/>
        <w:keepNext w:val="0"/>
        <w:pageBreakBefore w:val="0"/>
        <w:spacing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日期：</w:t>
      </w:r>
      <w:r/>
    </w:p>
    <w:p>
      <w:pPr>
        <w:ind w:firstLine="480"/>
        <w:jc w:val="left"/>
        <w:keepLines w:val="0"/>
        <w:keepNext w:val="0"/>
        <w:pageBreakBefore w:val="0"/>
        <w:spacing w:before="0" w:after="0"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jc w:val="left"/>
        <w:keepLines w:val="0"/>
        <w:keepNext w:val="0"/>
        <w:pageBreakBefore w:val="0"/>
        <w:spacing w:before="0" w:after="0"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注：</w:t>
      </w:r>
      <w:r/>
    </w:p>
    <w:p>
      <w:pPr>
        <w:ind w:firstLine="480"/>
        <w:jc w:val="left"/>
        <w:keepLines w:val="0"/>
        <w:keepNext w:val="0"/>
        <w:pageBreakBefore w:val="0"/>
        <w:spacing w:before="0" w:after="0"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left"/>
        <w:keepLines w:val="0"/>
        <w:keepNext w:val="0"/>
        <w:pageBreakBefore w:val="0"/>
        <w:spacing w:before="0" w:after="0"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供应商提供的《残疾人福利性单位声明函》与事实不符的，依照《政府采购法》第七十七条第一款的规定追究法律责任。</w:t>
      </w:r>
      <w:r/>
    </w:p>
    <w:p>
      <w:pPr>
        <w:ind w:firstLine="480"/>
        <w:jc w:val="left"/>
        <w:keepLines w:val="0"/>
        <w:keepNext w:val="0"/>
        <w:pageBreakBefore w:val="0"/>
        <w:spacing w:before="0" w:after="0"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before="0" w:after="0" w:line="520" w:lineRule="exact"/>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2.若供应商对照《关于促进残疾人就业政府采购政策的通知》（财库〔2017〕141号）中的规定，明确不符合残疾人福利性单位条件的，则无需提供此声明函。</w:t>
      </w:r>
      <w:r/>
    </w:p>
    <w:p>
      <w:pPr>
        <w:pStyle w:val="1400"/>
        <w:jc w:val="left"/>
        <w:keepLines w:val="0"/>
        <w:keepNext w:val="0"/>
        <w:pageBreakBefore w:val="0"/>
        <w:spacing w:line="360" w:lineRule="exact"/>
        <w:shd w:val="clear" w:color="auto" w:fill="auto"/>
        <w:widowControl/>
        <w:rPr>
          <w:rStyle w:val="1352"/>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outlineLvl w:val="9"/>
      </w:pPr>
      <w:r>
        <w:rPr>
          <w:rStyle w:val="1352"/>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t xml:space="preserve">监狱企业的证明文件</w:t>
      </w:r>
      <w:r/>
    </w:p>
    <w:p>
      <w:pPr>
        <w:pStyle w:val="1381"/>
        <w:jc w:val="center"/>
        <w:keepLines w:val="0"/>
        <w:keepNext w:val="0"/>
        <w:pageBreakBefore w:val="0"/>
        <w:spacing w:before="567" w:after="567" w:line="520" w:lineRule="exact"/>
        <w:shd w:val="clear" w:color="auto" w:fill="auto"/>
        <w:widowControl/>
        <w:rPr>
          <w:rFonts w:hint="eastAsia" w:ascii="宋体" w:hAnsi="宋体" w:eastAsia="宋体" w:cs="宋体"/>
          <w:color w:val="000000" w:themeColor="text1"/>
          <w:spacing w:val="0"/>
          <w:highlight w:val="none"/>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jc w:val="both"/>
        <w:keepLines w:val="0"/>
        <w:keepNext w:val="0"/>
        <w:pageBreakBefore w:val="0"/>
        <w:spacing w:line="520" w:lineRule="exact"/>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2.若供应商对照《关于政府采购支持监狱企业发展有关问题的通知》（财库〔2014〕68号）中的规定，明确不符合监狱企业条件的，则无需提供相关证明文件。</w:t>
      </w:r>
      <w:r/>
    </w:p>
    <w:p>
      <w:pPr>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shd w:val="clear" w:color="auto" w:fill="auto"/>
        <w:rPr>
          <w:rStyle w:val="1352"/>
          <w:rFonts w:hint="eastAsia" w:ascii="宋体" w:hAnsi="宋体" w:eastAsia="宋体" w:cs="宋体"/>
          <w:caps w:val="0"/>
          <w:smallCaps w:val="0"/>
          <w:color w:val="000000" w:themeColor="text1"/>
          <w:spacing w:val="0"/>
          <w:highlight w:val="none"/>
          <w:lang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000000" w:themeColor="text1"/>
          <w:spacing w:val="0"/>
          <w:highlight w:val="none"/>
          <w:lang w:eastAsia="zh-CN"/>
          <w14:textFill>
            <w14:solidFill>
              <w14:schemeClr w14:val="tx1"/>
            </w14:solidFill>
          </w14:textFill>
        </w:rPr>
      </w:r>
      <w:r/>
    </w:p>
    <w:p>
      <w:pPr>
        <w:ind w:left="0" w:right="0" w:firstLine="0"/>
        <w:jc w:val="center"/>
        <w:spacing w:before="0" w:after="0"/>
        <w:rPr>
          <w:rFonts w:hint="eastAsia" w:ascii="宋体" w:hAnsi="宋体" w:eastAsia="宋体" w:cs="宋体"/>
          <w:b/>
          <w:color w:val="000000" w:themeColor="text1"/>
          <w:spacing w:val="0"/>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0"/>
          <w:sz w:val="32"/>
          <w:highlight w:val="none"/>
          <w14:textFill>
            <w14:solidFill>
              <w14:schemeClr w14:val="tx1"/>
            </w14:solidFill>
          </w14:textFill>
        </w:rPr>
        <w:t xml:space="preserve">具有有效期内的《医疗机构执业许可证》，许可范围包含心电诊断（提供相关证明材料）</w:t>
      </w:r>
      <w:r/>
    </w:p>
    <w:p>
      <w:pPr>
        <w:pStyle w:val="1427"/>
        <w:spacing w:line="480" w:lineRule="auto"/>
        <w:shd w:val="clear" w:color="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pStyle w:val="1427"/>
        <w:spacing w:line="480" w:lineRule="auto"/>
        <w:shd w:val="clear" w:color="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pStyle w:val="1427"/>
        <w:spacing w:line="480" w:lineRule="auto"/>
        <w:shd w:val="clear" w:color="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pStyle w:val="1427"/>
        <w:spacing w:line="480" w:lineRule="auto"/>
        <w:shd w:val="clear" w:color="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pStyle w:val="1427"/>
        <w:spacing w:line="480" w:lineRule="auto"/>
        <w:shd w:val="clear" w:color="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pStyle w:val="1427"/>
        <w:ind w:firstLine="420"/>
        <w:spacing w:line="480" w:lineRule="auto"/>
        <w:shd w:val="clear" w:color="auto"/>
        <w:rPr>
          <w:rFonts w:hint="eastAsia" w:ascii="宋体" w:hAnsi="宋体" w:eastAsia="宋体"/>
          <w:color w:val="000000" w:themeColor="text1"/>
          <w:sz w:val="21"/>
          <w:szCs w:val="21"/>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ind w:left="0" w:right="0" w:firstLine="0"/>
        <w:jc w:val="center"/>
        <w:spacing w:before="0" w:after="0"/>
        <w:rPr>
          <w:rFonts w:hint="default" w:ascii="宋体" w:hAnsi="宋体" w:eastAsia="宋体" w:cs="宋体"/>
          <w:b/>
          <w:color w:val="auto"/>
          <w:spacing w:val="0"/>
          <w:sz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pacing w:val="0"/>
          <w:sz w:val="32"/>
          <w:highlight w:val="none"/>
          <w:lang w:val="en-US" w:eastAsia="zh-CN"/>
        </w:rPr>
        <w:t xml:space="preserve">不存在与参加本项目的其他供应商单位负责人为同一人或者存在直接控股、管理关系承诺</w:t>
      </w:r>
      <w:r/>
    </w:p>
    <w:p>
      <w:pPr>
        <w:ind w:firstLine="480"/>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pPr>
      <w:r>
        <w:rPr>
          <w:rFonts w:hint="default"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r>
      <w:r/>
    </w:p>
    <w:p>
      <w:pPr>
        <w:ind w:firstLine="480"/>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pPr>
      <w:r>
        <w:rPr>
          <w:rFonts w:hint="default"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t xml:space="preserve">我</w:t>
      </w:r>
      <w:r>
        <w:rPr>
          <w:rFonts w:hint="eastAsia"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t xml:space="preserve">公司</w:t>
      </w:r>
      <w:r>
        <w:rPr>
          <w:rFonts w:hint="default"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t xml:space="preserve">参加</w:t>
      </w:r>
      <w:r>
        <w:rPr>
          <w:rFonts w:hint="eastAsia"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t xml:space="preserve">贵公司</w:t>
      </w:r>
      <w:r>
        <w:rPr>
          <w:rFonts w:hint="default" w:ascii="Times New Roman" w:hAnsi="Times New Roman" w:eastAsia="宋体" w:cs="Times New Roman"/>
          <w:caps w:val="0"/>
          <w:color w:val="000000" w:themeColor="text1"/>
          <w:spacing w:val="0"/>
          <w:sz w:val="24"/>
          <w:szCs w:val="24"/>
          <w:highlight w:val="none"/>
          <w:lang w:val="en-US" w:eastAsia="zh-CN"/>
          <w14:textFill>
            <w14:solidFill>
              <w14:schemeClr w14:val="tx1"/>
            </w14:solidFill>
          </w14:textFill>
        </w:rPr>
        <w:t xml:space="preserve">组织的</w:t>
      </w:r>
      <w:r>
        <w:rPr>
          <w:rFonts w:hint="default" w:ascii="Times New Roman" w:hAnsi="Times New Roman" w:eastAsia="宋体" w:cs="Times New Roman"/>
          <w:caps w:val="0"/>
          <w:color w:val="000000" w:themeColor="text1"/>
          <w:spacing w:val="0"/>
          <w:sz w:val="24"/>
          <w:szCs w:val="24"/>
          <w:highlight w:val="none"/>
          <w:u w:val="single"/>
          <w:lang w:val="en-US" w:eastAsia="zh-CN"/>
          <w14:textFill>
            <w14:solidFill>
              <w14:schemeClr w14:val="tx1"/>
            </w14:solidFill>
          </w14:textFill>
        </w:rPr>
        <w:t xml:space="preserve">                </w:t>
      </w:r>
      <w:r>
        <w:rPr>
          <w:rFonts w:hint="eastAsia"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t xml:space="preserve">项目</w:t>
      </w: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t xml:space="preserve">（项目编号</w:t>
      </w:r>
      <w:r>
        <w:rPr>
          <w:rFonts w:hint="eastAsia"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t xml:space="preserve">：</w:t>
      </w:r>
      <w:r>
        <w:rPr>
          <w:rFonts w:hint="eastAsia" w:ascii="Times New Roman" w:hAnsi="Times New Roman" w:eastAsia="宋体" w:cs="Times New Roman"/>
          <w:caps w:val="0"/>
          <w:color w:val="000000" w:themeColor="text1"/>
          <w:spacing w:val="0"/>
          <w:sz w:val="24"/>
          <w:szCs w:val="24"/>
          <w:highlight w:val="none"/>
          <w:u w:val="single"/>
          <w:lang w:val="en-US" w:eastAsia="zh-CN"/>
          <w14:textFill>
            <w14:solidFill>
              <w14:schemeClr w14:val="tx1"/>
            </w14:solidFill>
          </w14:textFill>
        </w:rPr>
        <w:t xml:space="preserve">            </w:t>
      </w: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t xml:space="preserve">）</w:t>
      </w:r>
      <w:r>
        <w:rPr>
          <w:rFonts w:hint="eastAsia"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t xml:space="preserve">公开</w:t>
      </w: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t xml:space="preserve">招标，郑重承诺：在参加本次采购活动不存在与参加本项目的其他供应商单位负责人为同一人或者存在直接控股管理关系。本公司对上述承诺的真实性负责。如有虚假，将依法承担相应责任。</w:t>
      </w:r>
      <w:r/>
    </w:p>
    <w:p>
      <w:pPr>
        <w:ind w:firstLine="480"/>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pP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r>
      <w:r/>
    </w:p>
    <w:p>
      <w:pPr>
        <w:ind w:firstLine="480"/>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pP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r>
      <w:r/>
    </w:p>
    <w:p>
      <w:pPr>
        <w:jc w:val="center"/>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pPr>
      <w:r>
        <w:rPr>
          <w:rStyle w:val="1352"/>
          <w:rFonts w:hint="eastAsia" w:ascii="宋体" w:hAnsi="宋体" w:eastAsia="宋体" w:cs="宋体"/>
          <w:caps w:val="0"/>
          <w:smallCaps w:val="0"/>
          <w:color w:val="auto"/>
          <w:spacing w:val="0"/>
          <w:sz w:val="24"/>
          <w:szCs w:val="24"/>
          <w:highlight w:val="none"/>
          <w:shd w:val="clear" w:color="auto" w:fill="auto"/>
        </w:rPr>
        <w:t xml:space="preserve">投标</w:t>
      </w:r>
      <w:r>
        <w:rPr>
          <w:rStyle w:val="1352"/>
          <w:rFonts w:hint="eastAsia" w:ascii="宋体" w:hAnsi="宋体" w:eastAsia="宋体" w:cs="宋体"/>
          <w:caps w:val="0"/>
          <w:smallCaps w:val="0"/>
          <w:color w:val="auto"/>
          <w:spacing w:val="0"/>
          <w:sz w:val="24"/>
          <w:szCs w:val="24"/>
          <w:highlight w:val="none"/>
          <w:shd w:val="clear" w:color="auto" w:fill="auto"/>
          <w:lang w:val="en-US"/>
        </w:rPr>
        <w:t xml:space="preserve">人名称</w:t>
      </w:r>
      <w:r>
        <w:rPr>
          <w:rStyle w:val="1352"/>
          <w:rFonts w:hint="eastAsia" w:ascii="宋体" w:hAnsi="宋体" w:eastAsia="宋体" w:cs="宋体"/>
          <w:caps w:val="0"/>
          <w:smallCaps w:val="0"/>
          <w:color w:val="auto"/>
          <w:spacing w:val="0"/>
          <w:sz w:val="24"/>
          <w:szCs w:val="24"/>
          <w:highlight w:val="none"/>
          <w:shd w:val="clear" w:color="auto" w:fill="auto"/>
        </w:rPr>
        <w:t xml:space="preserve">（加盖公章）：</w:t>
      </w:r>
      <w:r/>
    </w:p>
    <w:p>
      <w:pPr>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pP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r>
      <w:r/>
    </w:p>
    <w:p>
      <w:pPr>
        <w:ind w:firstLine="480"/>
        <w:keepLines w:val="0"/>
        <w:keepNext w:val="0"/>
        <w:pageBreakBefore w:val="0"/>
        <w:spacing w:line="520" w:lineRule="exact"/>
        <w:widowControl w:val="off"/>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sectPr>
          <w:footnotePr/>
          <w:endnotePr/>
          <w:type w:val="nextPage"/>
          <w:pgSz w:w="11906" w:h="16838" w:orient="portrait"/>
          <w:pgMar w:top="1440" w:right="1080" w:bottom="1440" w:left="1080" w:header="567" w:footer="794" w:gutter="0"/>
          <w:cols w:num="1" w:sep="0" w:space="720" w:equalWidth="1"/>
          <w:docGrid w:linePitch="360"/>
          <w:titlePg/>
        </w:sectPr>
      </w:pPr>
      <w:r>
        <w:rPr>
          <w:rFonts w:hint="default" w:ascii="Times New Roman" w:hAnsi="Times New Roman" w:eastAsia="宋体" w:cs="Times New Roman"/>
          <w:caps w:val="0"/>
          <w:color w:val="000000" w:themeColor="text1"/>
          <w:spacing w:val="0"/>
          <w:sz w:val="24"/>
          <w:szCs w:val="24"/>
          <w:highlight w:val="none"/>
          <w:u w:val="none"/>
          <w:lang w:val="en-US" w:eastAsia="zh-CN"/>
          <w14:textFill>
            <w14:solidFill>
              <w14:schemeClr w14:val="tx1"/>
            </w14:solidFill>
          </w14:textFill>
        </w:rPr>
      </w:r>
      <w:r/>
    </w:p>
    <w:p>
      <w:pPr>
        <w:ind w:left="0" w:right="0" w:firstLine="0"/>
        <w:jc w:val="center"/>
        <w:spacing w:before="0" w:after="0"/>
        <w:rPr>
          <w:rFonts w:hint="eastAsia" w:ascii="宋体" w:hAnsi="宋体" w:eastAsia="宋体" w:cs="宋体"/>
          <w:color w:val="000000" w:themeColor="text1"/>
          <w:spacing w:val="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0"/>
          <w:sz w:val="32"/>
          <w:highlight w:val="none"/>
          <w14:textFill>
            <w14:solidFill>
              <w14:schemeClr w14:val="tx1"/>
            </w14:solidFill>
          </w14:textFill>
        </w:rPr>
        <w:t xml:space="preserve">未被“信用中国”网站（www.creditchina.gov.cn）列入失信被执行人、重大税收违法案件当事人名单、政府采购严重失信行为记录名单（提供相关证明材料）</w:t>
      </w:r>
      <w:r/>
    </w:p>
    <w:p>
      <w:pPr>
        <w:pStyle w:val="1181"/>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181"/>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jc w:val="left"/>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bookmarkStart w:id="124" w:name="_Toc19537"/>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五、投标配置及分项报价表</w:t>
      </w:r>
      <w:bookmarkEnd w:id="124"/>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投标配置及分项报价表</w:t>
      </w:r>
      <w:r/>
    </w:p>
    <w:tbl>
      <w:tblPr>
        <w:tblStyle w:val="1148"/>
        <w:tblW w:w="9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2142"/>
        <w:gridCol w:w="2762"/>
        <w:gridCol w:w="1796"/>
        <w:gridCol w:w="1763"/>
        <w:gridCol w:w="646"/>
      </w:tblGrid>
      <w:tr>
        <w:trPr>
          <w:jc w:val="center"/>
          <w:trHeight w:val="567"/>
        </w:trPr>
        <w:tc>
          <w:tcPr>
            <w:tcMar>
              <w:left w:w="0" w:type="dxa"/>
              <w:top w:w="0" w:type="dxa"/>
              <w:right w:w="0" w:type="dxa"/>
              <w:bottom w:w="0" w:type="dxa"/>
            </w:tcMar>
            <w:tcW w:w="690"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2142"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w:t>
            </w:r>
            <w:r/>
          </w:p>
        </w:tc>
        <w:tc>
          <w:tcPr>
            <w:tcMar>
              <w:left w:w="0" w:type="dxa"/>
              <w:top w:w="0" w:type="dxa"/>
              <w:right w:w="0" w:type="dxa"/>
              <w:bottom w:w="0" w:type="dxa"/>
            </w:tcMar>
            <w:tcW w:w="2762" w:type="dxa"/>
            <w:vAlign w:val="center"/>
            <w:textDirection w:val="lrTb"/>
            <w:noWrap w:val="false"/>
          </w:tcPr>
          <w:p>
            <w:pPr>
              <w:jc w:val="center"/>
              <w:shd w:val="clear" w:color="auto"/>
              <w:rPr>
                <w:rFonts w:hint="default"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p>
        </w:tc>
        <w:tc>
          <w:tcPr>
            <w:tcMar>
              <w:left w:w="0" w:type="dxa"/>
              <w:top w:w="0" w:type="dxa"/>
              <w:right w:w="0" w:type="dxa"/>
              <w:bottom w:w="0" w:type="dxa"/>
            </w:tcMar>
            <w:tcW w:w="1796"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p>
        </w:tc>
        <w:tc>
          <w:tcPr>
            <w:tcMar>
              <w:left w:w="0" w:type="dxa"/>
              <w:top w:w="0" w:type="dxa"/>
              <w:right w:w="0" w:type="dxa"/>
              <w:bottom w:w="0" w:type="dxa"/>
            </w:tcMar>
            <w:tcW w:w="1763"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优惠率</w:t>
            </w:r>
            <w:r/>
          </w:p>
        </w:tc>
        <w:tc>
          <w:tcPr>
            <w:tcMar>
              <w:left w:w="0" w:type="dxa"/>
              <w:top w:w="0" w:type="dxa"/>
              <w:right w:w="0" w:type="dxa"/>
              <w:bottom w:w="0" w:type="dxa"/>
            </w:tcMar>
            <w:tcW w:w="646"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备注</w:t>
            </w:r>
            <w:r/>
          </w:p>
        </w:tc>
      </w:tr>
      <w:tr>
        <w:trPr>
          <w:jc w:val="center"/>
          <w:trHeight w:val="567"/>
        </w:trPr>
        <w:tc>
          <w:tcPr>
            <w:tcMar>
              <w:left w:w="0" w:type="dxa"/>
              <w:top w:w="0" w:type="dxa"/>
              <w:right w:w="0" w:type="dxa"/>
              <w:bottom w:w="0" w:type="dxa"/>
            </w:tcMar>
            <w:tcW w:w="69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w:t>
            </w:r>
            <w:r/>
          </w:p>
        </w:tc>
        <w:tc>
          <w:tcPr>
            <w:tcMar>
              <w:left w:w="0" w:type="dxa"/>
              <w:top w:w="0" w:type="dxa"/>
              <w:right w:w="0" w:type="dxa"/>
              <w:bottom w:w="0" w:type="dxa"/>
            </w:tcMar>
            <w:tcW w:w="214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6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9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63"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64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69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14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6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9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63"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64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69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14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6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9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63"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64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69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p>
        </w:tc>
        <w:tc>
          <w:tcPr>
            <w:tcMar>
              <w:left w:w="0" w:type="dxa"/>
              <w:top w:w="0" w:type="dxa"/>
              <w:right w:w="0" w:type="dxa"/>
              <w:bottom w:w="0" w:type="dxa"/>
            </w:tcMar>
            <w:tcW w:w="214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6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9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763"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646"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bl>
    <w:p>
      <w:pPr>
        <w:ind w:firstLine="480"/>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注：以上表格必须如实提供，内容表述不全的可自行调整或添加。此表的优惠率应与开标一览表相符，如有不符，以开标一览表为准。</w:t>
      </w:r>
      <w:r/>
    </w:p>
    <w:p>
      <w:pPr>
        <w:jc w:val="left"/>
        <w:shd w:val="clear" w:color="auto"/>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设备清单</w:t>
      </w:r>
      <w:r/>
    </w:p>
    <w:tbl>
      <w:tblPr>
        <w:tblStyle w:val="1148"/>
        <w:tblW w:w="9695"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1454"/>
        <w:gridCol w:w="1607"/>
        <w:gridCol w:w="1000"/>
        <w:gridCol w:w="1300"/>
        <w:gridCol w:w="1900"/>
        <w:gridCol w:w="1664"/>
      </w:tblGrid>
      <w:tr>
        <w:trPr>
          <w:cantSplit/>
          <w:jc w:val="center"/>
          <w:trHeight w:val="658"/>
        </w:trPr>
        <w:tc>
          <w:tcPr>
            <w:tcBorders>
              <w:top w:val="single" w:color="auto" w:sz="4" w:space="0"/>
              <w:left w:val="single" w:color="auto" w:sz="4" w:space="0"/>
              <w:bottom w:val="single" w:color="auto" w:sz="4" w:space="0"/>
              <w:right w:val="single" w:color="auto" w:sz="6" w:space="0"/>
            </w:tcBorders>
            <w:tcW w:w="770"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eastAsia="宋体" w:cs="Times New Roman"/>
                <w:b/>
                <w:bCs/>
                <w:color w:val="000000" w:themeColor="text1"/>
                <w:position w:val="0"/>
                <w:sz w:val="24"/>
                <w:szCs w:val="24"/>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1454"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ascii="Times New Roman" w:eastAsia="宋体" w:cs="Times New Roman"/>
                <w:b/>
                <w:bCs/>
                <w:color w:val="000000" w:themeColor="text1"/>
                <w:position w:val="0"/>
                <w:sz w:val="24"/>
                <w:szCs w:val="24"/>
                <w:highlight w:val="non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1607"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eastAsia="宋体" w:cs="Times New Roman"/>
                <w:b/>
                <w:bCs/>
                <w:color w:val="000000" w:themeColor="text1"/>
                <w:position w:val="0"/>
                <w:sz w:val="24"/>
                <w:szCs w:val="24"/>
                <w:highlight w:val="none"/>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1000"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eastAsia="宋体" w:cs="Times New Roman"/>
                <w:b/>
                <w:bCs/>
                <w:color w:val="000000" w:themeColor="text1"/>
                <w:position w:val="0"/>
                <w:sz w:val="24"/>
                <w:szCs w:val="24"/>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1300"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eastAsia="宋体" w:cs="Times New Roman"/>
                <w:b/>
                <w:bCs/>
                <w:color w:val="000000" w:themeColor="text1"/>
                <w:position w:val="0"/>
                <w:sz w:val="24"/>
                <w:szCs w:val="24"/>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4" w:space="0"/>
            </w:tcBorders>
            <w:tcW w:w="1900"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eastAsia="宋体" w:cs="Times New Roman"/>
                <w:b/>
                <w:bCs/>
                <w:color w:val="000000" w:themeColor="text1"/>
                <w:position w:val="0"/>
                <w:sz w:val="24"/>
                <w:szCs w:val="24"/>
                <w:highlight w:val="none"/>
                <w14:textFill>
                  <w14:solidFill>
                    <w14:schemeClr w14:val="tx1"/>
                  </w14:solidFill>
                </w14:textFill>
              </w:rPr>
              <w:t xml:space="preserve">制造商/产地</w:t>
            </w:r>
            <w:r/>
          </w:p>
        </w:tc>
        <w:tc>
          <w:tcPr>
            <w:tcBorders>
              <w:top w:val="single" w:color="auto" w:sz="4" w:space="0"/>
              <w:left w:val="single" w:color="auto" w:sz="6" w:space="0"/>
              <w:bottom w:val="single" w:color="auto" w:sz="4" w:space="0"/>
              <w:right w:val="single" w:color="auto" w:sz="4" w:space="0"/>
            </w:tcBorders>
            <w:tcW w:w="1664" w:type="dxa"/>
            <w:vAlign w:val="center"/>
            <w:textDirection w:val="lrTb"/>
            <w:noWrap w:val="false"/>
          </w:tcPr>
          <w:p>
            <w:pPr>
              <w:ind w:right="-5"/>
              <w:jc w:val="center"/>
              <w:spacing w:line="240" w:lineRule="auto"/>
              <w:rPr>
                <w:rFonts w:eastAsia="宋体" w:cs="Times New Roman"/>
                <w:b/>
                <w:bCs/>
                <w:color w:val="000000" w:themeColor="text1"/>
                <w:position w:val="0"/>
                <w:sz w:val="24"/>
                <w:szCs w:val="24"/>
                <w:highlight w:val="none"/>
                <w14:textFill>
                  <w14:solidFill>
                    <w14:schemeClr w14:val="tx1"/>
                  </w14:solidFill>
                </w14:textFill>
              </w:rPr>
            </w:pPr>
            <w:r>
              <w:rPr>
                <w:rFonts w:hint="eastAsia" w:eastAsia="宋体" w:cs="Times New Roman"/>
                <w:b/>
                <w:bCs/>
                <w:color w:val="000000" w:themeColor="text1"/>
                <w:position w:val="0"/>
                <w:sz w:val="24"/>
                <w:szCs w:val="24"/>
                <w:highlight w:val="none"/>
                <w14:textFill>
                  <w14:solidFill>
                    <w14:schemeClr w14:val="tx1"/>
                  </w14:solidFill>
                </w14:textFill>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7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54" w:type="dxa"/>
            <w:textDirection w:val="lrTb"/>
            <w:noWrap w:val="false"/>
          </w:tcPr>
          <w:p>
            <w:pPr>
              <w:ind w:right="-5"/>
              <w:jc w:val="center"/>
              <w:spacing w:line="500" w:lineRule="exact"/>
              <w:rPr>
                <w:rFonts w:ascii="Times New Roman" w:eastAsia="宋体" w:cs="Times New Roman"/>
                <w:b w:val="0"/>
                <w:color w:val="000000" w:themeColor="text1"/>
                <w:position w:val="0"/>
                <w:sz w:val="21"/>
                <w:szCs w:val="24"/>
                <w:highlight w:val="none"/>
                <w14:textFill>
                  <w14:solidFill>
                    <w14:schemeClr w14:val="tx1"/>
                  </w14:solidFill>
                </w14:textFill>
              </w:rPr>
            </w:pPr>
            <w:r>
              <w:rPr>
                <w:rFonts w:ascii="Times New Roman"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607"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3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900"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64" w:type="dxa"/>
            <w:textDirection w:val="lrTb"/>
            <w:noWrap w:val="false"/>
          </w:tcPr>
          <w:p>
            <w:pPr>
              <w:ind w:right="-5"/>
              <w:jc w:val="center"/>
              <w:spacing w:line="500" w:lineRule="exact"/>
              <w:rPr>
                <w:rFonts w:eastAsia="宋体" w:cs="Times New Roman"/>
                <w:b w:val="0"/>
                <w:color w:val="000000" w:themeColor="text1"/>
                <w:position w:val="0"/>
                <w:sz w:val="21"/>
                <w:szCs w:val="24"/>
                <w:highlight w:val="none"/>
                <w14:textFill>
                  <w14:solidFill>
                    <w14:schemeClr w14:val="tx1"/>
                  </w14:solidFill>
                </w14:textFill>
              </w:rPr>
            </w:pPr>
            <w:r>
              <w:rPr>
                <w:rFonts w:eastAsia="宋体" w:cs="Times New Roman"/>
                <w:b w:val="0"/>
                <w:color w:val="000000" w:themeColor="text1"/>
                <w:position w:val="0"/>
                <w:sz w:val="21"/>
                <w:szCs w:val="24"/>
                <w:highlight w:val="none"/>
                <w14:textFill>
                  <w14:solidFill>
                    <w14:schemeClr w14:val="tx1"/>
                  </w14:solidFill>
                </w14:textFill>
              </w:rPr>
            </w:r>
            <w:r/>
          </w:p>
        </w:tc>
      </w:tr>
    </w:tbl>
    <w:p>
      <w:pPr>
        <w:jc w:val="left"/>
        <w:shd w:val="clear" w:color="auto"/>
        <w:rPr>
          <w:rFonts w:hint="eastAsia" w:ascii="宋体" w:hAnsi="宋体" w:eastAsia="Times New Roman"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outlineLvl w:val="1"/>
      </w:pPr>
      <w:r>
        <w:rPr>
          <w:rFonts w:hint="eastAsia" w:ascii="宋体" w:hAnsi="宋体" w:eastAsia="Times New Roman"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r>
      <w:r/>
    </w:p>
    <w:p>
      <w:pPr>
        <w:jc w:val="left"/>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bookmarkStart w:id="125" w:name="_Toc17920"/>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六、第四章项目需求中实质性要求响应对照表</w:t>
      </w:r>
      <w:bookmarkEnd w:id="125"/>
      <w:r/>
      <w:r/>
    </w:p>
    <w:p>
      <w:pPr>
        <w:pStyle w:val="1381"/>
        <w:jc w:val="center"/>
        <w:keepLines w:val="0"/>
        <w:keepNext w:val="0"/>
        <w:pageBreakBefore w:val="0"/>
        <w:spacing w:before="400" w:after="400"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第四章项目需求中实质性要求响应对照表</w:t>
      </w:r>
      <w:r/>
    </w:p>
    <w:p>
      <w:pPr>
        <w:pStyle w:val="1408"/>
        <w:ind w:firstLine="482"/>
        <w:spacing w:line="440" w:lineRule="exact"/>
        <w:rPr>
          <w:rStyle w:val="1333"/>
          <w:rFonts w:hint="eastAsia" w:ascii="宋体" w:hAnsi="宋体" w:eastAsia="宋体" w:cs="宋体"/>
          <w:b/>
          <w:bCs/>
          <w:color w:val="000000" w:themeColor="text1"/>
          <w:sz w:val="24"/>
          <w:szCs w:val="24"/>
          <w:highlight w:val="none"/>
          <w14:textFill>
            <w14:solidFill>
              <w14:schemeClr w14:val="tx1"/>
            </w14:solidFill>
          </w14:textFill>
        </w:rPr>
        <w:outlineLvl w:val="9"/>
      </w:pPr>
      <w:r>
        <w:rPr>
          <w:rStyle w:val="1333"/>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Style w:val="1333"/>
          <w:rFonts w:hint="eastAsia" w:ascii="宋体" w:hAnsi="宋体" w:eastAsia="宋体" w:cs="宋体"/>
          <w:b/>
          <w:bCs/>
          <w:color w:val="000000" w:themeColor="text1"/>
          <w:highlight w:val="none"/>
          <w:lang w:val="en-US" w:eastAsia="zh-CN"/>
          <w14:textFill>
            <w14:solidFill>
              <w14:schemeClr w14:val="tx1"/>
            </w14:solidFill>
          </w14:textFill>
        </w:rPr>
        <w:t xml:space="preserve">技术要求的实质性格式</w:t>
      </w:r>
      <w:r/>
    </w:p>
    <w:tbl>
      <w:tblPr>
        <w:tblStyle w:val="1148"/>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5803"/>
        <w:gridCol w:w="1698"/>
        <w:gridCol w:w="1734"/>
      </w:tblGrid>
      <w:tr>
        <w:trPr>
          <w:trHeight w:val="567"/>
          <w:tblHeader/>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eastAsia" w:ascii="宋体" w:hAnsi="宋体" w:eastAsia="宋体" w:cs="宋体"/>
                <w:b/>
                <w:bCs/>
                <w:i w:val="0"/>
                <w:iCs w:val="0"/>
                <w:smallCaps w:val="0"/>
                <w:color w:val="000000" w:themeColor="text1"/>
                <w:sz w:val="24"/>
                <w:szCs w:val="24"/>
                <w:highlight w:val="none"/>
                <w14:textFill>
                  <w14:solidFill>
                    <w14:schemeClr w14:val="tx1"/>
                  </w14:solidFill>
                </w14:textFill>
              </w:rPr>
            </w:pPr>
            <w:r>
              <w:rPr>
                <w:rStyle w:val="1333"/>
                <w:rFonts w:hint="eastAsia" w:ascii="宋体" w:hAnsi="宋体" w:eastAsia="宋体" w:cs="宋体"/>
                <w:b/>
                <w:bCs/>
                <w:i w:val="0"/>
                <w:iCs w:val="0"/>
                <w:smallCaps w:val="0"/>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5803" w:type="dxa"/>
            <w:vAlign w:val="center"/>
            <w:textDirection w:val="lrTb"/>
            <w:noWrap w:val="false"/>
          </w:tcPr>
          <w:p>
            <w:pPr>
              <w:pStyle w:val="1408"/>
              <w:jc w:val="center"/>
              <w:spacing w:line="240" w:lineRule="auto"/>
              <w:rPr>
                <w:rStyle w:val="1333"/>
                <w:rFonts w:hint="eastAsia" w:ascii="宋体" w:hAnsi="宋体" w:eastAsia="宋体" w:cs="宋体"/>
                <w:b/>
                <w:bCs/>
                <w:i w:val="0"/>
                <w:iCs w:val="0"/>
                <w:smallCaps w:val="0"/>
                <w:color w:val="000000" w:themeColor="text1"/>
                <w:sz w:val="24"/>
                <w:szCs w:val="24"/>
                <w:highlight w:val="none"/>
                <w14:textFill>
                  <w14:solidFill>
                    <w14:schemeClr w14:val="tx1"/>
                  </w14:solidFill>
                </w14:textFill>
              </w:rPr>
            </w:pPr>
            <w:r>
              <w:rPr>
                <w:rStyle w:val="1333"/>
                <w:rFonts w:hint="eastAsia" w:ascii="宋体" w:hAnsi="宋体" w:eastAsia="宋体" w:cs="宋体"/>
                <w:b/>
                <w:bCs/>
                <w:i w:val="0"/>
                <w:iCs w:val="0"/>
                <w:smallCaps w:val="0"/>
                <w:color w:val="000000" w:themeColor="text1"/>
                <w:sz w:val="24"/>
                <w:szCs w:val="24"/>
                <w:highlight w:val="none"/>
                <w:lang w:val="en-US" w:eastAsia="zh-CN"/>
                <w14:textFill>
                  <w14:solidFill>
                    <w14:schemeClr w14:val="tx1"/>
                  </w14:solidFill>
                </w14:textFill>
              </w:rPr>
              <w:t xml:space="preserve">技术</w:t>
            </w:r>
            <w:r>
              <w:rPr>
                <w:rStyle w:val="1333"/>
                <w:rFonts w:hint="eastAsia" w:ascii="宋体" w:hAnsi="宋体" w:eastAsia="宋体" w:cs="宋体"/>
                <w:b/>
                <w:bCs/>
                <w:i w:val="0"/>
                <w:iCs w:val="0"/>
                <w:smallCaps w:val="0"/>
                <w:color w:val="000000" w:themeColor="text1"/>
                <w:sz w:val="24"/>
                <w:szCs w:val="24"/>
                <w:highlight w:val="none"/>
                <w:lang w:eastAsia="zh-CN"/>
                <w14:textFill>
                  <w14:solidFill>
                    <w14:schemeClr w14:val="tx1"/>
                  </w14:solidFill>
                </w14:textFill>
              </w:rPr>
              <w:t xml:space="preserve">条款</w:t>
            </w:r>
            <w:r>
              <w:rPr>
                <w:rStyle w:val="1333"/>
                <w:rFonts w:hint="eastAsia" w:ascii="宋体" w:hAnsi="宋体" w:eastAsia="宋体" w:cs="宋体"/>
                <w:b/>
                <w:bCs/>
                <w:i w:val="0"/>
                <w:iCs w:val="0"/>
                <w:smallCaps w:val="0"/>
                <w:color w:val="000000" w:themeColor="text1"/>
                <w:sz w:val="24"/>
                <w:szCs w:val="24"/>
                <w:highlight w:val="none"/>
                <w14:textFill>
                  <w14:solidFill>
                    <w14:schemeClr w14:val="tx1"/>
                  </w14:solidFill>
                </w14:textFill>
              </w:rPr>
              <w:t xml:space="preserve">的实质性要求</w:t>
            </w:r>
            <w:r/>
          </w:p>
          <w:p>
            <w:pPr>
              <w:pStyle w:val="1408"/>
              <w:jc w:val="center"/>
              <w:spacing w:line="240" w:lineRule="auto"/>
              <w:rPr>
                <w:rStyle w:val="1333"/>
                <w:rFonts w:hint="eastAsia" w:ascii="宋体" w:hAnsi="宋体" w:eastAsia="宋体" w:cs="宋体"/>
                <w:b/>
                <w:bCs/>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bCs/>
                <w:i/>
                <w:color w:val="000000" w:themeColor="text1"/>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bCs/>
                <w:i w:val="0"/>
                <w:iCs w:val="0"/>
                <w:smallCaps w:val="0"/>
                <w:color w:val="000000" w:themeColor="text1"/>
                <w:sz w:val="24"/>
                <w:szCs w:val="24"/>
                <w:highlight w:val="none"/>
                <w:lang w:eastAsia="zh-CN"/>
                <w14:textFill>
                  <w14:solidFill>
                    <w14:schemeClr w14:val="tx1"/>
                  </w14:solidFill>
                </w14:textFill>
              </w:rPr>
            </w:pPr>
            <w:r>
              <w:rPr>
                <w:rStyle w:val="1333"/>
                <w:rFonts w:hint="eastAsia" w:ascii="宋体" w:hAnsi="宋体" w:eastAsia="宋体" w:cs="宋体"/>
                <w:b/>
                <w:bCs/>
                <w:i w:val="0"/>
                <w:iCs w:val="0"/>
                <w:smallCaps w:val="0"/>
                <w:color w:val="000000" w:themeColor="text1"/>
                <w:sz w:val="24"/>
                <w:szCs w:val="24"/>
                <w:highlight w:val="none"/>
                <w:lang w:eastAsia="zh-CN"/>
                <w14:textFill>
                  <w14:solidFill>
                    <w14:schemeClr w14:val="tx1"/>
                  </w14:solidFill>
                </w14:textFill>
              </w:rPr>
              <w:t xml:space="preserve">投标响应情况</w:t>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bCs/>
                <w:i w:val="0"/>
                <w:iCs w:val="0"/>
                <w:smallCaps w:val="0"/>
                <w:color w:val="000000" w:themeColor="text1"/>
                <w:sz w:val="24"/>
                <w:szCs w:val="24"/>
                <w:highlight w:val="none"/>
                <w:lang w:eastAsia="zh-CN"/>
                <w14:textFill>
                  <w14:solidFill>
                    <w14:schemeClr w14:val="tx1"/>
                  </w14:solidFill>
                </w14:textFill>
              </w:rPr>
            </w:pPr>
            <w:r>
              <w:rPr>
                <w:rStyle w:val="1333"/>
                <w:rFonts w:hint="eastAsia" w:ascii="宋体" w:hAnsi="宋体" w:eastAsia="宋体" w:cs="宋体"/>
                <w:b/>
                <w:bCs/>
                <w:i w:val="0"/>
                <w:iCs w:val="0"/>
                <w:smallCaps w:val="0"/>
                <w:color w:val="000000" w:themeColor="text1"/>
                <w:sz w:val="24"/>
                <w:szCs w:val="24"/>
                <w:highlight w:val="none"/>
                <w:lang w:eastAsia="zh-CN"/>
                <w14:textFill>
                  <w14:solidFill>
                    <w14:schemeClr w14:val="tx1"/>
                  </w14:solidFill>
                </w14:textFill>
              </w:rPr>
              <w:t xml:space="preserve">正偏离、符合或负偏离</w:t>
            </w:r>
            <w:r/>
          </w:p>
        </w:tc>
      </w:tr>
      <w:tr>
        <w:trPr>
          <w:trHeight w:val="567"/>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5803" w:type="dxa"/>
            <w:vAlign w:val="center"/>
            <w:textDirection w:val="lrTb"/>
            <w:noWrap w:val="false"/>
          </w:tcPr>
          <w:p>
            <w:pPr>
              <w:pStyle w:val="1403"/>
              <w:jc w:val="left"/>
              <w:spacing w:line="240" w:lineRule="auto"/>
              <w:shd w:val="clear" w:color="auto" w:fill="auto"/>
              <w:rPr>
                <w:rStyle w:val="1352"/>
                <w:rFonts w:hint="eastAsia"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项目需求二、技术要求  </w:t>
            </w:r>
            <w:r>
              <w:rPr>
                <w:rFonts w:hint="eastAsia" w:ascii="宋体" w:hAnsi="宋体" w:eastAsia="宋体" w:cs="宋体"/>
                <w:b/>
                <w:bCs/>
                <w:color w:val="auto"/>
                <w:spacing w:val="0"/>
                <w:sz w:val="24"/>
                <w:highlight w:val="none"/>
                <w:lang w:eastAsia="zh-CN"/>
              </w:rPr>
              <w:t xml:space="preserve">（二）服务机构要求</w:t>
            </w:r>
            <w:r/>
          </w:p>
          <w:p>
            <w:pPr>
              <w:pStyle w:val="1403"/>
              <w:jc w:val="left"/>
              <w:spacing w:line="240" w:lineRule="auto"/>
              <w:shd w:val="clear" w:color="auto" w:fill="auto"/>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 w:val="0"/>
                <w:i/>
                <w:color w:val="auto"/>
                <w:sz w:val="24"/>
                <w:szCs w:val="24"/>
                <w:highlight w:val="none"/>
                <w:u w:val="single"/>
                <w:lang w:eastAsia="zh-CN"/>
              </w:rPr>
              <w:t xml:space="preserve">要求投标人为独立的医疗机构。</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2</w:t>
            </w:r>
            <w:r/>
          </w:p>
        </w:tc>
        <w:tc>
          <w:tcPr>
            <w:tcMar>
              <w:left w:w="0" w:type="dxa"/>
              <w:top w:w="0" w:type="dxa"/>
              <w:right w:w="0" w:type="dxa"/>
              <w:bottom w:w="0" w:type="dxa"/>
            </w:tcMar>
            <w:tcW w:w="5803" w:type="dxa"/>
            <w:vAlign w:val="center"/>
            <w:textDirection w:val="lrTb"/>
            <w:noWrap w:val="false"/>
          </w:tcPr>
          <w:p>
            <w:pPr>
              <w:pStyle w:val="1403"/>
              <w:jc w:val="left"/>
              <w:spacing w:line="240" w:lineRule="auto"/>
              <w:shd w:val="clear" w:color="auto" w:fill="auto"/>
              <w:rPr>
                <w:rStyle w:val="1352"/>
                <w:rFonts w:hint="eastAsia"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项目需求二、技术要求  </w:t>
            </w:r>
            <w:r>
              <w:rPr>
                <w:rFonts w:hint="eastAsia" w:ascii="宋体" w:hAnsi="宋体" w:eastAsia="宋体" w:cs="宋体"/>
                <w:b/>
                <w:bCs/>
                <w:color w:val="auto"/>
                <w:spacing w:val="0"/>
                <w:sz w:val="24"/>
                <w:highlight w:val="none"/>
                <w:lang w:eastAsia="zh-CN"/>
              </w:rPr>
              <w:t xml:space="preserve">（三）收费标准</w:t>
            </w:r>
            <w:r/>
          </w:p>
          <w:p>
            <w:pPr>
              <w:pStyle w:val="1403"/>
              <w:jc w:val="left"/>
              <w:spacing w:line="240" w:lineRule="auto"/>
              <w:shd w:val="clear" w:color="auto" w:fill="auto"/>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 w:val="0"/>
                <w:i/>
                <w:color w:val="auto"/>
                <w:sz w:val="24"/>
                <w:szCs w:val="24"/>
                <w:highlight w:val="none"/>
                <w:u w:val="single"/>
                <w:lang w:eastAsia="zh-CN"/>
              </w:rPr>
              <w:t xml:space="preserve">3．检查费用全部由采购人向受检者（患者）收取，中标人为受检者（患者）提供检查服务时，不得再以任何形式收取其他费用。结算价格为实际检查数量*项目收费标准*（1-投标优惠率），合同服务期内，若第一年度实际发生金额超过年度预算总金额，则中标单位不得停止服务，最终第一年度结算总金额仍为年度预算总金额</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3</w:t>
            </w:r>
            <w:r/>
          </w:p>
        </w:tc>
        <w:tc>
          <w:tcPr>
            <w:tcMar>
              <w:left w:w="0" w:type="dxa"/>
              <w:top w:w="0" w:type="dxa"/>
              <w:right w:w="0" w:type="dxa"/>
              <w:bottom w:w="0" w:type="dxa"/>
            </w:tcMar>
            <w:tcW w:w="5803" w:type="dxa"/>
            <w:vAlign w:val="center"/>
            <w:textDirection w:val="lrTb"/>
            <w:noWrap w:val="false"/>
          </w:tcPr>
          <w:p>
            <w:pPr>
              <w:pStyle w:val="1403"/>
              <w:jc w:val="left"/>
              <w:spacing w:line="240" w:lineRule="auto"/>
              <w:shd w:val="clear" w:color="auto" w:fill="auto"/>
              <w:rPr>
                <w:rStyle w:val="1352"/>
                <w:rFonts w:hint="default"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项目需求二、技术要求  </w:t>
            </w:r>
            <w:r>
              <w:rPr>
                <w:rFonts w:hint="eastAsia" w:ascii="宋体" w:hAnsi="宋体" w:eastAsia="宋体" w:cs="宋体"/>
                <w:b/>
                <w:bCs/>
                <w:color w:val="auto"/>
                <w:spacing w:val="0"/>
                <w:sz w:val="24"/>
                <w:highlight w:val="none"/>
                <w:lang w:eastAsia="zh-CN"/>
              </w:rPr>
              <w:t xml:space="preserve">（六）设备要求</w:t>
            </w:r>
            <w:r>
              <w:rPr>
                <w:rFonts w:hint="eastAsia" w:ascii="宋体" w:hAnsi="宋体" w:eastAsia="宋体" w:cs="宋体"/>
                <w:b/>
                <w:bCs/>
                <w:color w:val="auto"/>
                <w:spacing w:val="0"/>
                <w:sz w:val="24"/>
                <w:highlight w:val="none"/>
                <w:lang w:val="en-US" w:eastAsia="zh-CN"/>
              </w:rPr>
              <w:t xml:space="preserve">  1．硬件要求</w:t>
            </w:r>
            <w:r/>
          </w:p>
          <w:p>
            <w:pPr>
              <w:pStyle w:val="1403"/>
              <w:jc w:val="left"/>
              <w:spacing w:line="240" w:lineRule="auto"/>
              <w:shd w:val="clear" w:color="auto" w:fill="auto"/>
              <w:rPr>
                <w:rFonts w:hint="eastAsia" w:ascii="宋体" w:hAnsi="宋体" w:eastAsia="宋体" w:cs="宋体"/>
                <w:b/>
                <w:bCs/>
                <w:color w:val="auto"/>
                <w:spacing w:val="0"/>
                <w:sz w:val="24"/>
                <w:highlight w:val="none"/>
                <w:lang w:eastAsia="zh-CN"/>
              </w:rPr>
            </w:pPr>
            <w:r>
              <w:rPr>
                <w:rFonts w:hint="eastAsia" w:ascii="宋体" w:hAnsi="宋体" w:eastAsia="宋体" w:cs="宋体"/>
                <w:b w:val="0"/>
                <w:i/>
                <w:color w:val="auto"/>
                <w:sz w:val="24"/>
                <w:szCs w:val="24"/>
                <w:highlight w:val="none"/>
                <w:u w:val="single"/>
                <w:lang w:eastAsia="zh-CN"/>
              </w:rPr>
              <w:t xml:space="preserve">（6）服务期间配套一次性使用电极片由中标人免费提供。</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4</w:t>
            </w:r>
            <w:r/>
          </w:p>
        </w:tc>
        <w:tc>
          <w:tcPr>
            <w:tcMar>
              <w:left w:w="0" w:type="dxa"/>
              <w:top w:w="0" w:type="dxa"/>
              <w:right w:w="0" w:type="dxa"/>
              <w:bottom w:w="0" w:type="dxa"/>
            </w:tcMar>
            <w:tcW w:w="5803" w:type="dxa"/>
            <w:vAlign w:val="center"/>
            <w:textDirection w:val="lrTb"/>
            <w:noWrap w:val="false"/>
          </w:tcPr>
          <w:p>
            <w:pPr>
              <w:pStyle w:val="1403"/>
              <w:jc w:val="left"/>
              <w:spacing w:line="240" w:lineRule="auto"/>
              <w:shd w:val="clear" w:color="auto" w:fill="auto"/>
              <w:rPr>
                <w:rStyle w:val="1352"/>
                <w:rFonts w:hint="default"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项目需求二、技术要求  </w:t>
            </w:r>
            <w:r>
              <w:rPr>
                <w:rFonts w:hint="eastAsia" w:ascii="宋体" w:hAnsi="宋体" w:eastAsia="宋体" w:cs="宋体"/>
                <w:b/>
                <w:bCs/>
                <w:color w:val="auto"/>
                <w:spacing w:val="0"/>
                <w:sz w:val="24"/>
                <w:highlight w:val="none"/>
                <w:lang w:eastAsia="zh-CN"/>
              </w:rPr>
              <w:t xml:space="preserve">（六）设备要求</w:t>
            </w:r>
            <w:r>
              <w:rPr>
                <w:rFonts w:hint="eastAsia" w:ascii="宋体" w:hAnsi="宋体" w:eastAsia="宋体" w:cs="宋体"/>
                <w:b/>
                <w:bCs/>
                <w:color w:val="auto"/>
                <w:spacing w:val="0"/>
                <w:sz w:val="24"/>
                <w:highlight w:val="none"/>
                <w:lang w:val="en-US" w:eastAsia="zh-CN"/>
              </w:rPr>
              <w:t xml:space="preserve">  2．主要硬件设备技术参数  动态心电记录仪（12导）</w:t>
            </w:r>
            <w:r/>
          </w:p>
          <w:p>
            <w:pPr>
              <w:pStyle w:val="1403"/>
              <w:jc w:val="left"/>
              <w:spacing w:line="240" w:lineRule="auto"/>
              <w:shd w:val="clear" w:color="auto" w:fill="auto"/>
              <w:rPr>
                <w:rFonts w:hint="eastAsia" w:ascii="宋体" w:hAnsi="宋体" w:eastAsia="宋体" w:cs="宋体"/>
                <w:b w:val="0"/>
                <w:i/>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i/>
                <w:color w:val="auto"/>
                <w:sz w:val="24"/>
                <w:szCs w:val="24"/>
                <w:highlight w:val="none"/>
                <w:u w:val="single"/>
                <w:lang w:eastAsia="zh-CN"/>
              </w:rPr>
              <w:t xml:space="preserve">（13）具有医疗器械产品备案或注册证明，并提供其医疗器械产品备案或注册证明复印件。</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5</w:t>
            </w:r>
            <w:r/>
          </w:p>
        </w:tc>
        <w:tc>
          <w:tcPr>
            <w:tcMar>
              <w:left w:w="0" w:type="dxa"/>
              <w:top w:w="0" w:type="dxa"/>
              <w:right w:w="0" w:type="dxa"/>
              <w:bottom w:w="0" w:type="dxa"/>
            </w:tcMar>
            <w:tcW w:w="5803" w:type="dxa"/>
            <w:vAlign w:val="center"/>
            <w:textDirection w:val="lrTb"/>
            <w:noWrap w:val="false"/>
          </w:tcPr>
          <w:p>
            <w:pPr>
              <w:pStyle w:val="1403"/>
              <w:jc w:val="left"/>
              <w:spacing w:line="240" w:lineRule="auto"/>
              <w:shd w:val="clear" w:color="auto" w:fill="auto"/>
              <w:rPr>
                <w:rStyle w:val="1352"/>
                <w:rFonts w:hint="default"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项目需求二、技术要求  </w:t>
            </w:r>
            <w:r>
              <w:rPr>
                <w:rFonts w:hint="eastAsia" w:ascii="宋体" w:hAnsi="宋体" w:eastAsia="宋体" w:cs="宋体"/>
                <w:b/>
                <w:bCs/>
                <w:color w:val="auto"/>
                <w:spacing w:val="0"/>
                <w:sz w:val="24"/>
                <w:highlight w:val="none"/>
                <w:lang w:eastAsia="zh-CN"/>
              </w:rPr>
              <w:t xml:space="preserve">（六）设备要求</w:t>
            </w:r>
            <w:r>
              <w:rPr>
                <w:rFonts w:hint="eastAsia" w:ascii="宋体" w:hAnsi="宋体" w:eastAsia="宋体" w:cs="宋体"/>
                <w:b/>
                <w:bCs/>
                <w:color w:val="auto"/>
                <w:spacing w:val="0"/>
                <w:sz w:val="24"/>
                <w:highlight w:val="none"/>
                <w:lang w:val="en-US" w:eastAsia="zh-CN"/>
              </w:rPr>
              <w:t xml:space="preserve">  2．主要硬件设备技术参数  常规心电图机（含工作站）</w:t>
            </w:r>
            <w:r/>
          </w:p>
          <w:p>
            <w:pPr>
              <w:pStyle w:val="1403"/>
              <w:jc w:val="left"/>
              <w:spacing w:line="240" w:lineRule="auto"/>
              <w:shd w:val="clear" w:color="auto" w:fill="auto"/>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t xml:space="preserve">（1）设备注册类型为心电图机，不接受心电采集盒模式。【提供医疗器械注册证及设备外观图片证明】</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611" w:type="dxa"/>
            <w:vAlign w:val="center"/>
            <w:textDirection w:val="lrTb"/>
            <w:noWrap w:val="false"/>
          </w:tcPr>
          <w:p>
            <w:pPr>
              <w:pStyle w:val="1408"/>
              <w:jc w:val="center"/>
              <w:spacing w:line="240" w:lineRule="auto"/>
              <w:rPr>
                <w:rStyle w:val="1333"/>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6</w:t>
            </w:r>
            <w:r/>
          </w:p>
        </w:tc>
        <w:tc>
          <w:tcPr>
            <w:tcMar>
              <w:left w:w="0" w:type="dxa"/>
              <w:top w:w="0" w:type="dxa"/>
              <w:right w:w="0" w:type="dxa"/>
              <w:bottom w:w="0" w:type="dxa"/>
            </w:tcMar>
            <w:tcW w:w="5803" w:type="dxa"/>
            <w:vAlign w:val="center"/>
            <w:textDirection w:val="lrTb"/>
            <w:noWrap w:val="false"/>
          </w:tcPr>
          <w:p>
            <w:pPr>
              <w:pStyle w:val="1403"/>
              <w:jc w:val="left"/>
              <w:spacing w:line="240" w:lineRule="auto"/>
              <w:shd w:val="clear" w:color="auto" w:fill="auto"/>
              <w:rPr>
                <w:rStyle w:val="1352"/>
                <w:rFonts w:hint="eastAsia"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项目需求二、技术要求  </w:t>
            </w:r>
            <w:r>
              <w:rPr>
                <w:rFonts w:hint="eastAsia" w:ascii="宋体" w:hAnsi="宋体" w:eastAsia="宋体" w:cs="宋体"/>
                <w:b/>
                <w:bCs/>
                <w:color w:val="auto"/>
                <w:spacing w:val="0"/>
                <w:sz w:val="24"/>
                <w:highlight w:val="none"/>
                <w:lang w:eastAsia="zh-CN"/>
              </w:rPr>
              <w:t xml:space="preserve">（十一）报价要求</w:t>
            </w:r>
            <w:r/>
          </w:p>
          <w:p>
            <w:pPr>
              <w:pStyle w:val="1403"/>
              <w:jc w:val="left"/>
              <w:spacing w:line="240" w:lineRule="auto"/>
              <w:shd w:val="clear" w:color="auto" w:fill="auto"/>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t xml:space="preserve">1．本次报价采用优惠率报价。例如：投标人以38%优惠率报价本项目，直接在报价栏中填报38即可。如投标人投标优惠率为38%，即中标后按招标文件中的项目收费标准*（1-38%）的价格执行。</w:t>
            </w:r>
            <w:r/>
          </w:p>
          <w:p>
            <w:pPr>
              <w:pStyle w:val="1403"/>
              <w:jc w:val="left"/>
              <w:spacing w:line="240" w:lineRule="auto"/>
              <w:shd w:val="clear" w:color="auto" w:fill="auto"/>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t xml:space="preserve">2．本次招标项目投标优惠率≥38%，否则视为无效报价。</w:t>
            </w:r>
            <w:r/>
          </w:p>
          <w:p>
            <w:pPr>
              <w:pStyle w:val="1403"/>
              <w:jc w:val="left"/>
              <w:spacing w:line="240" w:lineRule="auto"/>
              <w:shd w:val="clear" w:color="auto" w:fill="auto"/>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t xml:space="preserve">3.两年总金额200万元不变的情况下，如第一年度服务费未达到 ，可累积到第二年度。</w:t>
            </w:r>
            <w:r/>
          </w:p>
        </w:tc>
        <w:tc>
          <w:tcPr>
            <w:tcMar>
              <w:left w:w="0" w:type="dxa"/>
              <w:top w:w="0" w:type="dxa"/>
              <w:right w:w="0" w:type="dxa"/>
              <w:bottom w:w="0" w:type="dxa"/>
            </w:tcMar>
            <w:tcW w:w="1698"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34" w:type="dxa"/>
            <w:vAlign w:val="center"/>
            <w:textDirection w:val="lrTb"/>
            <w:noWrap w:val="false"/>
          </w:tcPr>
          <w:p>
            <w:pPr>
              <w:pStyle w:val="1408"/>
              <w:jc w:val="center"/>
              <w:spacing w:line="240" w:lineRule="auto"/>
              <w:rPr>
                <w:rStyle w:val="1333"/>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bl>
    <w:p>
      <w:pPr>
        <w:pStyle w:val="1408"/>
        <w:ind w:firstLine="482"/>
        <w:spacing w:line="440" w:lineRule="exact"/>
        <w:rPr>
          <w:rFonts w:hint="eastAsia" w:ascii="宋体" w:hAnsi="宋体" w:eastAsia="宋体" w:cs="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t xml:space="preserve">注：投标人必须对技术要求中的实质性要求</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z w:val="24"/>
          <w:szCs w:val="24"/>
          <w:highlight w:val="none"/>
          <w14:textFill>
            <w14:solidFill>
              <w14:schemeClr w14:val="tx1"/>
            </w14:solidFill>
          </w14:textFill>
        </w:rPr>
        <w:t xml:space="preserve">逐条做出明确响应，</w:t>
      </w:r>
      <w:r>
        <w:rPr>
          <w:rFonts w:hint="eastAsia" w:ascii="宋体" w:hAnsi="宋体" w:eastAsia="宋体" w:cs="宋体"/>
          <w:color w:val="000000" w:themeColor="text1"/>
          <w:sz w:val="24"/>
          <w:highlight w:val="none"/>
          <w14:textFill>
            <w14:solidFill>
              <w14:schemeClr w14:val="tx1"/>
            </w14:solidFill>
          </w14:textFill>
        </w:rPr>
        <w:t xml:space="preserve">否则</w:t>
      </w:r>
      <w:r>
        <w:rPr>
          <w:rFonts w:hint="eastAsia" w:ascii="宋体" w:hAnsi="宋体" w:eastAsia="宋体" w:cs="宋体"/>
          <w:color w:val="000000" w:themeColor="text1"/>
          <w:sz w:val="24"/>
          <w:highlight w:val="none"/>
          <w:lang w:eastAsia="zh-CN"/>
          <w14:textFill>
            <w14:solidFill>
              <w14:schemeClr w14:val="tx1"/>
            </w14:solidFill>
          </w14:textFill>
        </w:rPr>
        <w:t xml:space="preserve">该采购包</w:t>
      </w:r>
      <w:r>
        <w:rPr>
          <w:rFonts w:hint="eastAsia" w:ascii="宋体" w:hAnsi="宋体" w:eastAsia="宋体" w:cs="宋体"/>
          <w:color w:val="000000" w:themeColor="text1"/>
          <w:sz w:val="24"/>
          <w:highlight w:val="none"/>
          <w14:textFill>
            <w14:solidFill>
              <w14:schemeClr w14:val="tx1"/>
            </w14:solidFill>
          </w14:textFill>
        </w:rPr>
        <w:t xml:space="preserve">作无效投标处理。</w:t>
      </w:r>
      <w:r/>
    </w:p>
    <w:p>
      <w:pPr>
        <w:pStyle w:val="1408"/>
        <w:ind w:firstLine="482"/>
        <w:spacing w:line="440" w:lineRule="exact"/>
        <w:rPr>
          <w:rStyle w:val="1333"/>
          <w:rFonts w:hint="eastAsia" w:ascii="宋体" w:hAnsi="宋体" w:eastAsia="宋体" w:cs="宋体"/>
          <w:b/>
          <w:bCs/>
          <w:color w:val="000000" w:themeColor="text1"/>
          <w:spacing w:val="0"/>
          <w:highlight w:val="none"/>
          <w:lang w:val="en-US" w:eastAsia="zh-CN"/>
          <w14:textFill>
            <w14:solidFill>
              <w14:schemeClr w14:val="tx1"/>
            </w14:solidFill>
          </w14:textFill>
        </w:rPr>
      </w:pPr>
      <w:r>
        <w:rPr>
          <w:rStyle w:val="1333"/>
          <w:rFonts w:hint="eastAsia" w:ascii="宋体" w:hAnsi="宋体" w:eastAsia="宋体" w:cs="宋体"/>
          <w:b/>
          <w:bCs/>
          <w:color w:val="000000" w:themeColor="text1"/>
          <w:spacing w:val="0"/>
          <w:highlight w:val="none"/>
          <w:lang w:val="en-US" w:eastAsia="zh-CN"/>
          <w14:textFill>
            <w14:solidFill>
              <w14:schemeClr w14:val="tx1"/>
            </w14:solidFill>
          </w14:textFill>
        </w:rPr>
        <w:t xml:space="preserve">2.</w:t>
      </w:r>
      <w:r>
        <w:rPr>
          <w:rStyle w:val="1333"/>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商务条款的实质性格式</w:t>
      </w:r>
      <w:r/>
    </w:p>
    <w:tbl>
      <w:tblPr>
        <w:tblStyle w:val="1148"/>
        <w:tblW w:w="97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3"/>
        <w:gridCol w:w="5831"/>
        <w:gridCol w:w="1771"/>
        <w:gridCol w:w="1606"/>
      </w:tblGrid>
      <w:tr>
        <w:trPr>
          <w:trHeight w:val="567"/>
          <w:tblHeader/>
        </w:trPr>
        <w:tc>
          <w:tcPr>
            <w:tcMar>
              <w:left w:w="0" w:type="dxa"/>
              <w:top w:w="0" w:type="dxa"/>
              <w:right w:w="0" w:type="dxa"/>
              <w:bottom w:w="0" w:type="dxa"/>
            </w:tcMar>
            <w:tcW w:w="573"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t xml:space="preserve">序号</w:t>
            </w:r>
            <w:r/>
          </w:p>
        </w:tc>
        <w:tc>
          <w:tcPr>
            <w:tcMar>
              <w:left w:w="0" w:type="dxa"/>
              <w:top w:w="0" w:type="dxa"/>
              <w:right w:w="0" w:type="dxa"/>
              <w:bottom w:w="0" w:type="dxa"/>
            </w:tcMar>
            <w:tcW w:w="5831"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1333"/>
                <w:rFonts w:hint="eastAsia" w:ascii="宋体" w:hAnsi="宋体" w:eastAsia="宋体" w:cs="宋体"/>
                <w:b/>
                <w:bCs/>
                <w:i w:val="0"/>
                <w:iCs w:val="0"/>
                <w:smallCaps w:val="0"/>
                <w:color w:val="000000" w:themeColor="text1"/>
                <w:spacing w:val="0"/>
                <w:sz w:val="24"/>
                <w:szCs w:val="24"/>
                <w:highlight w:val="none"/>
                <w:lang w:val="en-US" w:eastAsia="zh-CN"/>
                <w14:textFill>
                  <w14:solidFill>
                    <w14:schemeClr w14:val="tx1"/>
                  </w14:solidFill>
                </w14:textFill>
              </w:rPr>
              <w:t xml:space="preserve">商务</w:t>
            </w:r>
            <w:r>
              <w:rPr>
                <w:rStyle w:val="1333"/>
                <w:rFonts w:hint="eastAsia" w:ascii="宋体" w:hAnsi="宋体" w:eastAsia="宋体" w:cs="宋体"/>
                <w:b/>
                <w:bCs/>
                <w:i w:val="0"/>
                <w:iCs w:val="0"/>
                <w:smallCaps w:val="0"/>
                <w:color w:val="000000" w:themeColor="text1"/>
                <w:spacing w:val="0"/>
                <w:sz w:val="24"/>
                <w:szCs w:val="24"/>
                <w:highlight w:val="none"/>
                <w:lang w:eastAsia="zh-CN"/>
                <w14:textFill>
                  <w14:solidFill>
                    <w14:schemeClr w14:val="tx1"/>
                  </w14:solidFill>
                </w14:textFill>
              </w:rPr>
              <w:t xml:space="preserve">要求</w:t>
            </w:r>
            <w:r>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t xml:space="preserve">的实质性要求</w:t>
            </w:r>
            <w:r/>
          </w:p>
          <w:p>
            <w:pPr>
              <w:pStyle w:val="1408"/>
              <w:jc w:val="center"/>
              <w:keepLines w:val="0"/>
              <w:keepNext w:val="0"/>
              <w:pageBreakBefore w:val="0"/>
              <w:spacing w:line="240" w:lineRule="auto"/>
              <w:widowControl/>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bCs/>
                <w:i/>
                <w:color w:val="000000" w:themeColor="text1"/>
                <w:spacing w:val="0"/>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1771"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1333"/>
                <w:rFonts w:hint="eastAsia" w:ascii="宋体" w:hAnsi="宋体" w:eastAsia="宋体" w:cs="宋体"/>
                <w:b/>
                <w:bCs/>
                <w:i w:val="0"/>
                <w:iCs w:val="0"/>
                <w:smallCaps w:val="0"/>
                <w:color w:val="000000" w:themeColor="text1"/>
                <w:spacing w:val="0"/>
                <w:sz w:val="24"/>
                <w:szCs w:val="24"/>
                <w:highlight w:val="none"/>
                <w:lang w:eastAsia="zh-CN"/>
                <w14:textFill>
                  <w14:solidFill>
                    <w14:schemeClr w14:val="tx1"/>
                  </w14:solidFill>
                </w14:textFill>
              </w:rPr>
              <w:t xml:space="preserve">投标响应情况</w:t>
            </w:r>
            <w:r/>
          </w:p>
        </w:tc>
        <w:tc>
          <w:tcPr>
            <w:tcMar>
              <w:left w:w="0" w:type="dxa"/>
              <w:top w:w="0" w:type="dxa"/>
              <w:right w:w="0" w:type="dxa"/>
              <w:bottom w:w="0" w:type="dxa"/>
            </w:tcMar>
            <w:tcW w:w="1606"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1333"/>
                <w:rFonts w:hint="eastAsia" w:ascii="宋体" w:hAnsi="宋体" w:eastAsia="宋体" w:cs="宋体"/>
                <w:b/>
                <w:bCs/>
                <w:i w:val="0"/>
                <w:iCs w:val="0"/>
                <w:smallCaps w:val="0"/>
                <w:color w:val="000000" w:themeColor="text1"/>
                <w:spacing w:val="0"/>
                <w:sz w:val="24"/>
                <w:szCs w:val="24"/>
                <w:highlight w:val="none"/>
                <w:lang w:eastAsia="zh-CN"/>
                <w14:textFill>
                  <w14:solidFill>
                    <w14:schemeClr w14:val="tx1"/>
                  </w14:solidFill>
                </w14:textFill>
              </w:rPr>
              <w:t xml:space="preserve">正偏离、符合或负偏离</w:t>
            </w:r>
            <w:r/>
          </w:p>
        </w:tc>
      </w:tr>
      <w:tr>
        <w:trPr>
          <w:trHeight w:val="567"/>
        </w:trPr>
        <w:tc>
          <w:tcPr>
            <w:tcMar>
              <w:left w:w="0" w:type="dxa"/>
              <w:top w:w="0" w:type="dxa"/>
              <w:right w:w="0" w:type="dxa"/>
              <w:bottom w:w="0" w:type="dxa"/>
            </w:tcMar>
            <w:tcW w:w="573"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5831" w:type="dxa"/>
            <w:vAlign w:val="center"/>
            <w:textDirection w:val="lrTb"/>
            <w:noWrap w:val="false"/>
          </w:tcPr>
          <w:p>
            <w:pPr>
              <w:pStyle w:val="1403"/>
              <w:jc w:val="left"/>
              <w:spacing w:line="240" w:lineRule="auto"/>
              <w:shd w:val="clear" w:color="auto" w:fill="auto"/>
              <w:rPr>
                <w:rStyle w:val="1352"/>
                <w:rFonts w:hint="eastAsia"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项目需求三、商务条款  </w:t>
            </w:r>
            <w:r>
              <w:rPr>
                <w:rFonts w:hint="eastAsia" w:ascii="宋体" w:hAnsi="宋体" w:eastAsia="宋体" w:cs="宋体"/>
                <w:b/>
                <w:bCs/>
                <w:color w:val="auto"/>
                <w:spacing w:val="0"/>
                <w:sz w:val="24"/>
                <w:highlight w:val="none"/>
                <w:lang w:eastAsia="zh-CN"/>
              </w:rPr>
              <w:t xml:space="preserve">（一）服务期限及服务地点</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1．服务期限</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自合同签订之日起二年，若第一年度实际发生金额超过年度预算总金额，则中标单位不得停止服务，最终第一年度结算总金额仍为年度预算总金额。第二年以先达到合同时间或金额截止）。（合同一年一签，根据考核结果续签合同，具体以合同签订时间为准）。其中拟投入服务的主要设备及配套软件在采购人通知后30个工作日内完成安装调试、培训等工作，达到提供服务的标准。</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2．服务地点</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000000" w:themeColor="text1"/>
                <w:spacing w:val="0"/>
                <w:sz w:val="24"/>
                <w:szCs w:val="24"/>
                <w:highlight w:val="none"/>
                <w:u w:val="single"/>
                <w:lang w:eastAsia="zh-CN"/>
                <w14:textFill>
                  <w14:solidFill>
                    <w14:schemeClr w14:val="tx1"/>
                  </w14:solidFill>
                </w14:textFill>
              </w:rPr>
              <w:outlineLvl w:val="9"/>
            </w:pPr>
            <w:r>
              <w:rPr>
                <w:rFonts w:hint="eastAsia" w:ascii="宋体" w:hAnsi="宋体" w:eastAsia="宋体" w:cs="宋体"/>
                <w:b w:val="0"/>
                <w:i/>
                <w:color w:val="auto"/>
                <w:sz w:val="24"/>
                <w:szCs w:val="24"/>
                <w:highlight w:val="none"/>
                <w:u w:val="single"/>
                <w:lang w:eastAsia="zh-CN"/>
              </w:rPr>
              <w:t xml:space="preserve">采购人指定的地点。</w:t>
            </w:r>
            <w:r/>
          </w:p>
        </w:tc>
        <w:tc>
          <w:tcPr>
            <w:tcMar>
              <w:left w:w="0" w:type="dxa"/>
              <w:top w:w="0" w:type="dxa"/>
              <w:right w:w="0" w:type="dxa"/>
              <w:bottom w:w="0" w:type="dxa"/>
            </w:tcMar>
            <w:tcW w:w="1771"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1606"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73"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2</w:t>
            </w:r>
            <w:r/>
          </w:p>
        </w:tc>
        <w:tc>
          <w:tcPr>
            <w:tcMar>
              <w:left w:w="0" w:type="dxa"/>
              <w:top w:w="0" w:type="dxa"/>
              <w:right w:w="0" w:type="dxa"/>
              <w:bottom w:w="0" w:type="dxa"/>
            </w:tcMar>
            <w:tcW w:w="5831" w:type="dxa"/>
            <w:vAlign w:val="center"/>
            <w:textDirection w:val="lrTb"/>
            <w:noWrap w:val="false"/>
          </w:tcPr>
          <w:p>
            <w:pPr>
              <w:pStyle w:val="1403"/>
              <w:jc w:val="left"/>
              <w:spacing w:line="240" w:lineRule="auto"/>
              <w:shd w:val="clear" w:color="auto" w:fill="auto"/>
              <w:rPr>
                <w:rStyle w:val="1352"/>
                <w:rFonts w:hint="default"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项目需求三、商务条款  </w:t>
            </w:r>
            <w:r>
              <w:rPr>
                <w:rFonts w:hint="eastAsia" w:ascii="宋体" w:hAnsi="宋体" w:eastAsia="宋体" w:cs="宋体"/>
                <w:b/>
                <w:bCs/>
                <w:color w:val="auto"/>
                <w:spacing w:val="0"/>
                <w:sz w:val="24"/>
                <w:highlight w:val="none"/>
                <w:lang w:eastAsia="zh-CN"/>
              </w:rPr>
              <w:t xml:space="preserve">（三）支付方式</w:t>
            </w:r>
            <w:r>
              <w:rPr>
                <w:rFonts w:hint="eastAsia" w:ascii="宋体" w:hAnsi="宋体" w:eastAsia="宋体" w:cs="宋体"/>
                <w:b/>
                <w:bCs/>
                <w:color w:val="auto"/>
                <w:spacing w:val="0"/>
                <w:sz w:val="24"/>
                <w:highlight w:val="none"/>
                <w:lang w:val="en-US" w:eastAsia="zh-CN"/>
              </w:rPr>
              <w:t xml:space="preserve">  </w:t>
            </w:r>
            <w:r>
              <w:rPr>
                <w:rFonts w:hint="eastAsia" w:ascii="宋体" w:hAnsi="宋体" w:eastAsia="宋体" w:cs="宋体"/>
                <w:b w:val="0"/>
                <w:bCs w:val="0"/>
                <w:color w:val="auto"/>
                <w:spacing w:val="0"/>
                <w:sz w:val="24"/>
                <w:highlight w:val="none"/>
                <w:lang w:val="en-US" w:eastAsia="zh-CN"/>
              </w:rPr>
              <w:t xml:space="preserve">1．张家港市第一人民医院支付方式</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（1）结付程序</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中标人按本合同内容合格地履行服务义务后，凭服务清单明细、销售发票、合同到采购单位办理合同款的结算手续。</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（2）结付期限</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①合同签订生效后，采购人支付合同金额的10%作为预付款，如在签订合同时，中标人明确表示无需预付款或者主动要求降低预付款比例的，采购人可不适用上述关于预付款的规定。</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②合同期内服务费按季度结算的方式进行（因考核、检查后有失分，实际支付额与基准价格存在差异）。结算价格为实际检查数量*项目收费标准*（1-中标优惠率）。中标人提供每个月的心电检查项目的数量服务明细表，由采购人和中标人共同核对，以季度完整签名的服务明细表为结算依据。合同执行后第2个季度支付第1季度的服务费用，第3季度支付第2季度的服务费用，依次类推直至结算完成。</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③采购人根据月度考核分核算服务费的发放：对中标人的服务实行月度考核，月得分在90分及以上全额支付当月服务费用，低于90分，每低一分扣除中标人3%当月服务费用，扣款在当月服务费中直接扣除，最后一次结算时采购人一并退还履约保证金。</w:t>
            </w:r>
            <w:r/>
          </w:p>
          <w:p>
            <w:pPr>
              <w:ind w:firstLine="0"/>
              <w:jc w:val="left"/>
              <w:keepLines w:val="0"/>
              <w:keepNext w:val="0"/>
              <w:pageBreakBefore w:val="0"/>
              <w:spacing w:line="240" w:lineRule="auto"/>
              <w:shd w:val="clear" w:color="auto" w:fill="auto"/>
              <w:widowControl/>
              <w:rPr>
                <w:rFonts w:hint="eastAsia" w:ascii="宋体" w:hAnsi="宋体" w:eastAsia="宋体" w:cs="宋体"/>
                <w:b/>
                <w:i/>
                <w:iCs/>
                <w:color w:val="000000" w:themeColor="text1"/>
                <w:spacing w:val="0"/>
                <w:sz w:val="24"/>
                <w:highlight w:val="none"/>
                <w:u w:val="single"/>
                <w:lang w:eastAsia="zh-CN"/>
                <w14:textFill>
                  <w14:solidFill>
                    <w14:schemeClr w14:val="tx1"/>
                  </w14:solidFill>
                </w14:textFill>
              </w:rPr>
              <w:outlineLvl w:val="9"/>
            </w:pPr>
            <w:r>
              <w:rPr>
                <w:rFonts w:hint="eastAsia" w:ascii="宋体" w:hAnsi="宋体" w:eastAsia="宋体" w:cs="宋体"/>
                <w:b w:val="0"/>
                <w:i/>
                <w:color w:val="auto"/>
                <w:sz w:val="24"/>
                <w:szCs w:val="24"/>
                <w:highlight w:val="none"/>
                <w:u w:val="single"/>
                <w:lang w:eastAsia="zh-CN"/>
              </w:rPr>
              <w:t xml:space="preserve">④中标人应每月召开一次质控会，对考核中存在问题进行持续质量改进，并以书面形式向采购人反馈整改措施及效果；一年累计有三个月考核得分低于70分，视为中标人不符合采购人考核要求，采购人有权依法解除合同。</w:t>
            </w:r>
            <w:r/>
          </w:p>
        </w:tc>
        <w:tc>
          <w:tcPr>
            <w:tcMar>
              <w:left w:w="0" w:type="dxa"/>
              <w:top w:w="0" w:type="dxa"/>
              <w:right w:w="0" w:type="dxa"/>
              <w:bottom w:w="0" w:type="dxa"/>
            </w:tcMar>
            <w:tcW w:w="1771"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1606"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73"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3</w:t>
            </w:r>
            <w:r/>
          </w:p>
        </w:tc>
        <w:tc>
          <w:tcPr>
            <w:tcMar>
              <w:left w:w="0" w:type="dxa"/>
              <w:top w:w="0" w:type="dxa"/>
              <w:right w:w="0" w:type="dxa"/>
              <w:bottom w:w="0" w:type="dxa"/>
            </w:tcMar>
            <w:tcW w:w="5831" w:type="dxa"/>
            <w:vAlign w:val="center"/>
            <w:textDirection w:val="lrTb"/>
            <w:noWrap w:val="false"/>
          </w:tcPr>
          <w:p>
            <w:pPr>
              <w:pStyle w:val="1403"/>
              <w:jc w:val="left"/>
              <w:spacing w:line="240" w:lineRule="auto"/>
              <w:shd w:val="clear" w:color="auto" w:fill="auto"/>
              <w:rPr>
                <w:rStyle w:val="1352"/>
                <w:rFonts w:hint="default"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项目需求三、商务条款  </w:t>
            </w:r>
            <w:r>
              <w:rPr>
                <w:rFonts w:hint="eastAsia" w:ascii="宋体" w:hAnsi="宋体" w:eastAsia="宋体" w:cs="宋体"/>
                <w:b/>
                <w:bCs/>
                <w:color w:val="auto"/>
                <w:spacing w:val="0"/>
                <w:sz w:val="24"/>
                <w:highlight w:val="none"/>
                <w:lang w:eastAsia="zh-CN"/>
              </w:rPr>
              <w:t xml:space="preserve">（三）支付方式</w:t>
            </w:r>
            <w:r>
              <w:rPr>
                <w:rFonts w:hint="eastAsia" w:ascii="宋体" w:hAnsi="宋体" w:eastAsia="宋体" w:cs="宋体"/>
                <w:b/>
                <w:bCs/>
                <w:color w:val="auto"/>
                <w:spacing w:val="0"/>
                <w:sz w:val="24"/>
                <w:highlight w:val="none"/>
                <w:lang w:val="en-US" w:eastAsia="zh-CN"/>
              </w:rPr>
              <w:t xml:space="preserve">  </w:t>
            </w:r>
            <w:r>
              <w:rPr>
                <w:rFonts w:hint="eastAsia" w:ascii="宋体" w:hAnsi="宋体" w:eastAsia="宋体" w:cs="宋体"/>
                <w:b w:val="0"/>
                <w:bCs w:val="0"/>
                <w:color w:val="auto"/>
                <w:spacing w:val="0"/>
                <w:sz w:val="24"/>
                <w:highlight w:val="none"/>
                <w:lang w:val="en-US" w:eastAsia="zh-CN"/>
              </w:rPr>
              <w:t xml:space="preserve">2．医共体、医联体单位支付方式</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1）张家港市第一人民医院和相关各医共体、医联体单位使用该心电平台和心电设备向患者开展心电医疗服务，根据相关收费价格标准向患者收取费用，并按收费价格的中标优惠率向中标方支付技术服务费及运营费用；张家港市第一人民医院相关各医共体、医联体单位若需使用张家港市第一人民医院的心电诊断服务，则向张家港市第一人民医院支付收费价格8%的服务费；三方按实际检查人次结算，每季度结算一次。</w:t>
            </w:r>
            <w:r/>
          </w:p>
          <w:p>
            <w:pPr>
              <w:ind w:firstLine="0"/>
              <w:jc w:val="left"/>
              <w:keepLines w:val="0"/>
              <w:keepNext w:val="0"/>
              <w:pageBreakBefore w:val="0"/>
              <w:spacing w:line="240" w:lineRule="auto"/>
              <w:shd w:val="clear" w:color="auto" w:fill="auto"/>
              <w:widowControl/>
              <w:rPr>
                <w:rFonts w:hint="eastAsia" w:ascii="宋体" w:hAnsi="宋体" w:eastAsia="宋体" w:cs="宋体"/>
                <w:b w:val="0"/>
                <w:i w:val="0"/>
                <w:color w:val="000000" w:themeColor="text1"/>
                <w:spacing w:val="0"/>
                <w:sz w:val="24"/>
                <w:szCs w:val="24"/>
                <w:highlight w:val="none"/>
                <w:u w:val="none"/>
                <w:lang w:eastAsia="zh-CN"/>
                <w14:textFill>
                  <w14:solidFill>
                    <w14:schemeClr w14:val="tx1"/>
                  </w14:solidFill>
                </w14:textFill>
              </w:rPr>
              <w:outlineLvl w:val="9"/>
            </w:pPr>
            <w:r>
              <w:rPr>
                <w:rFonts w:hint="eastAsia" w:ascii="宋体" w:hAnsi="宋体" w:eastAsia="宋体" w:cs="宋体"/>
                <w:b w:val="0"/>
                <w:i/>
                <w:color w:val="auto"/>
                <w:sz w:val="24"/>
                <w:szCs w:val="24"/>
                <w:highlight w:val="none"/>
                <w:u w:val="single"/>
                <w:lang w:eastAsia="zh-CN"/>
              </w:rPr>
              <w:t xml:space="preserve">（2）签约方式：张家港市第一人民医院相关各医共体、医联体单位可以与中标方基于此要求分别签署合同；亦可和张家港市第一人民医院联合与中标方签署三方合同。</w:t>
            </w:r>
            <w:r/>
          </w:p>
        </w:tc>
        <w:tc>
          <w:tcPr>
            <w:tcMar>
              <w:left w:w="0" w:type="dxa"/>
              <w:top w:w="0" w:type="dxa"/>
              <w:right w:w="0" w:type="dxa"/>
              <w:bottom w:w="0" w:type="dxa"/>
            </w:tcMar>
            <w:tcW w:w="1771"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1606"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73" w:type="dxa"/>
            <w:vAlign w:val="center"/>
            <w:textDirection w:val="lrTb"/>
            <w:noWrap w:val="false"/>
          </w:tcPr>
          <w:p>
            <w:pPr>
              <w:pStyle w:val="1408"/>
              <w:jc w:val="center"/>
              <w:keepLines w:val="0"/>
              <w:keepNext w:val="0"/>
              <w:pageBreakBefore w:val="0"/>
              <w:spacing w:line="240" w:lineRule="auto"/>
              <w:widowControl/>
              <w:rPr>
                <w:rStyle w:val="1333"/>
                <w:rFonts w:hint="default"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333"/>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4</w:t>
            </w:r>
            <w:r/>
          </w:p>
        </w:tc>
        <w:tc>
          <w:tcPr>
            <w:tcMar>
              <w:left w:w="0" w:type="dxa"/>
              <w:top w:w="0" w:type="dxa"/>
              <w:right w:w="0" w:type="dxa"/>
              <w:bottom w:w="0" w:type="dxa"/>
            </w:tcMar>
            <w:tcW w:w="5831" w:type="dxa"/>
            <w:vAlign w:val="center"/>
            <w:textDirection w:val="lrTb"/>
            <w:noWrap w:val="false"/>
          </w:tcPr>
          <w:p>
            <w:pPr>
              <w:pStyle w:val="1403"/>
              <w:jc w:val="left"/>
              <w:spacing w:line="240" w:lineRule="auto"/>
              <w:shd w:val="clear" w:color="auto" w:fill="auto"/>
              <w:rPr>
                <w:rStyle w:val="1352"/>
                <w:rFonts w:hint="eastAsia" w:ascii="宋体" w:hAnsi="宋体" w:eastAsia="宋体" w:cs="宋体"/>
                <w:b/>
                <w:bCs/>
                <w:color w:val="auto"/>
                <w:sz w:val="24"/>
                <w:szCs w:val="24"/>
                <w:highlight w:val="none"/>
                <w:lang w:val="en-US"/>
              </w:rPr>
            </w:pPr>
            <w:r>
              <w:rPr>
                <w:rStyle w:val="1352"/>
                <w:rFonts w:hint="eastAsia" w:ascii="宋体" w:hAnsi="宋体" w:eastAsia="宋体" w:cs="宋体"/>
                <w:color w:val="auto"/>
                <w:sz w:val="24"/>
                <w:szCs w:val="24"/>
                <w:highlight w:val="none"/>
                <w:lang w:val="en-US"/>
              </w:rPr>
              <w:t xml:space="preserve">第四章  项目需求三、商务条款  </w:t>
            </w:r>
            <w:r>
              <w:rPr>
                <w:rFonts w:hint="eastAsia" w:ascii="宋体" w:hAnsi="宋体" w:eastAsia="宋体" w:cs="宋体"/>
                <w:b/>
                <w:bCs/>
                <w:color w:val="auto"/>
                <w:spacing w:val="0"/>
                <w:sz w:val="24"/>
                <w:highlight w:val="none"/>
                <w:lang w:eastAsia="zh-CN"/>
              </w:rPr>
              <w:t xml:space="preserve">（四）投标货币</w:t>
            </w:r>
            <w:r/>
          </w:p>
          <w:p>
            <w:pPr>
              <w:numPr>
                <w:ilvl w:val="0"/>
                <w:numId w:val="0"/>
              </w:numPr>
              <w:ind w:firstLine="0"/>
              <w:keepLines w:val="0"/>
              <w:keepNext w:val="0"/>
              <w:pageBreakBefore w:val="0"/>
              <w:spacing w:line="240" w:lineRule="auto"/>
              <w:shd w:val="clear" w:color="auto" w:fill="auto"/>
              <w:widowControl/>
              <w:rPr>
                <w:rFonts w:hint="eastAsia" w:ascii="宋体" w:hAnsi="宋体" w:eastAsia="宋体" w:cs="宋体"/>
                <w:b w:val="0"/>
                <w:i w:val="0"/>
                <w:color w:val="000000" w:themeColor="text1"/>
                <w:spacing w:val="0"/>
                <w:sz w:val="24"/>
                <w:szCs w:val="24"/>
                <w:highlight w:val="none"/>
                <w:u w:val="none"/>
                <w:lang w:eastAsia="zh-CN"/>
                <w14:textFill>
                  <w14:solidFill>
                    <w14:schemeClr w14:val="tx1"/>
                  </w14:solidFill>
                </w14:textFill>
              </w:rPr>
              <w:outlineLvl w:val="9"/>
            </w:pPr>
            <w:r>
              <w:rPr>
                <w:rFonts w:hint="eastAsia" w:ascii="宋体" w:hAnsi="宋体" w:eastAsia="宋体" w:cs="宋体"/>
                <w:b w:val="0"/>
                <w:i/>
                <w:color w:val="auto"/>
                <w:sz w:val="24"/>
                <w:szCs w:val="24"/>
                <w:highlight w:val="none"/>
                <w:u w:val="single"/>
                <w:lang w:eastAsia="zh-CN"/>
              </w:rPr>
              <w:t xml:space="preserve">人民币。</w:t>
            </w:r>
            <w:r/>
          </w:p>
        </w:tc>
        <w:tc>
          <w:tcPr>
            <w:tcMar>
              <w:left w:w="0" w:type="dxa"/>
              <w:top w:w="0" w:type="dxa"/>
              <w:right w:w="0" w:type="dxa"/>
              <w:bottom w:w="0" w:type="dxa"/>
            </w:tcMar>
            <w:tcW w:w="1771"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1606" w:type="dxa"/>
            <w:vAlign w:val="center"/>
            <w:textDirection w:val="lrTb"/>
            <w:noWrap w:val="false"/>
          </w:tcPr>
          <w:p>
            <w:pPr>
              <w:pStyle w:val="1408"/>
              <w:jc w:val="center"/>
              <w:keepLines w:val="0"/>
              <w:keepNext w:val="0"/>
              <w:pageBreakBefore w:val="0"/>
              <w:spacing w:line="240" w:lineRule="auto"/>
              <w:widowControl/>
              <w:rPr>
                <w:rStyle w:val="1333"/>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bl>
    <w:p>
      <w:pPr>
        <w:ind w:firstLine="480"/>
        <w:spacing w:line="44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注：投标人必须对商务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条款</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中的实质性要求</w:t>
      </w:r>
      <w:r>
        <w:rPr>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逐条做出明确响应，否则</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该采购包</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作无效投标处理。</w:t>
      </w:r>
      <w:r/>
    </w:p>
    <w:p>
      <w:pPr>
        <w:pStyle w:val="1381"/>
        <w:jc w:val="both"/>
        <w:keepLines w:val="0"/>
        <w:keepNext w:val="0"/>
        <w:pageBreakBefore w:val="0"/>
        <w:spacing w:before="567" w:after="567" w:line="240" w:lineRule="auto"/>
        <w:shd w:val="clear" w:color="auto" w:fill="auto"/>
        <w:widowControl/>
        <w:rPr>
          <w:rStyle w:val="1352"/>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jc w:val="left"/>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bookmarkStart w:id="126" w:name="_Toc17778"/>
      <w:r>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t xml:space="preserve">七、服务方案</w:t>
      </w:r>
      <w:bookmarkEnd w:id="126"/>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服务方案</w:t>
      </w:r>
      <w:r/>
    </w:p>
    <w:p>
      <w:pPr>
        <w:jc w:val="center"/>
        <w:keepLines w:val="0"/>
        <w:keepNext w:val="0"/>
        <w:pageBreakBefore w:val="0"/>
        <w:spacing w:line="520" w:lineRule="exact"/>
        <w:shd w:val="clear" w:color="auto"/>
        <w:widowControl w:val="off"/>
        <w:rPr>
          <w:rFonts w:hint="eastAsia" w:ascii="宋体" w:hAnsi="宋体" w:eastAsia="宋体" w:cs="宋体"/>
          <w:caps w:val="0"/>
          <w:smallCaps w:val="0"/>
          <w:color w:val="000000" w:themeColor="text1"/>
          <w:spacing w:val="0"/>
          <w:sz w:val="24"/>
          <w:szCs w:val="21"/>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1"/>
          <w:highlight w:val="none"/>
          <w:shd w:val="clear" w:color="auto" w:fill="auto"/>
          <w:lang w:val="en-US" w:eastAsia="zh-CN" w:bidi="ar-SA"/>
          <w14:textFill>
            <w14:solidFill>
              <w14:schemeClr w14:val="tx1"/>
            </w14:solidFill>
          </w14:textFill>
        </w:rPr>
        <w:t xml:space="preserve">（服务方案的内容编排等由投标人自定）</w:t>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bookmarkStart w:id="127" w:name="_Toc1741"/>
      <w:r>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t xml:space="preserve">八、投标人情况介绍</w:t>
      </w:r>
      <w:bookmarkEnd w:id="127"/>
      <w:r/>
      <w:r/>
    </w:p>
    <w:p>
      <w:pPr>
        <w:jc w:val="left"/>
        <w:keepLines w:val="0"/>
        <w:keepNext w:val="0"/>
        <w:pageBreakBefore w:val="0"/>
        <w:spacing w:line="520" w:lineRule="exact"/>
        <w:shd w:val="clear" w:color="auto"/>
        <w:widowControl/>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outlineLvl w:val="2"/>
      </w:pP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2"/>
      </w:pP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t xml:space="preserve">投标人拥有的设施设备情况</w:t>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投标人拥有的设施设备情况（若有的话）</w:t>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r>
      <w:r/>
    </w:p>
    <w:p>
      <w:pPr>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cente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jc w:val="left"/>
        <w:keepLines w:val="0"/>
        <w:keepNext w:val="0"/>
        <w:pageBreakBefore w:val="0"/>
        <w:spacing w:line="520" w:lineRule="exact"/>
        <w:shd w:val="clear" w:color="auto"/>
        <w:widowControl/>
        <w:rPr>
          <w:rFonts w:hint="eastAsia" w:ascii="宋体" w:hAnsi="宋体" w:eastAsia="宋体" w:cs="宋体"/>
          <w:b/>
          <w:caps w:val="0"/>
          <w:smallCaps w:val="0"/>
          <w:color w:val="000000" w:themeColor="text1"/>
          <w:spacing w:val="0"/>
          <w:sz w:val="28"/>
          <w:szCs w:val="24"/>
          <w:highlight w:val="none"/>
          <w:shd w:val="clear" w:color="auto" w:fill="auto"/>
          <w:lang w:val="en-US" w:eastAsia="zh-CN" w:bidi="ar-SA"/>
          <w14:textFill>
            <w14:solidFill>
              <w14:schemeClr w14:val="tx1"/>
            </w14:solidFill>
          </w14:textFill>
        </w:rPr>
        <w:outlineLvl w:val="2"/>
      </w:pP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t xml:space="preserve">项目负责人及其他人员介绍</w:t>
      </w:r>
      <w:r/>
    </w:p>
    <w:p>
      <w:pPr>
        <w:jc w:val="center"/>
        <w:keepLines w:val="0"/>
        <w:keepNext w:val="0"/>
        <w:pageBreakBefore w:val="0"/>
        <w:spacing w:before="567" w:after="567" w:line="520" w:lineRule="exact"/>
        <w:shd w:val="clear" w:color="auto"/>
        <w:widowControl/>
        <w:rPr>
          <w:rFonts w:hint="eastAsia" w:ascii="宋体" w:hAnsi="宋体" w:eastAsia="宋体" w:cs="宋体"/>
          <w:b/>
          <w:caps w:val="0"/>
          <w:smallCaps w:val="0"/>
          <w:color w:val="000000" w:themeColor="text1"/>
          <w:spacing w:val="0"/>
          <w:sz w:val="28"/>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项目负责人及其他人员介绍</w:t>
      </w:r>
      <w:r/>
    </w:p>
    <w:tbl>
      <w:tblPr>
        <w:tblStyle w:val="1148"/>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270"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姓名</w:t>
            </w:r>
            <w:r/>
          </w:p>
        </w:tc>
        <w:tc>
          <w:tcPr>
            <w:tcW w:w="673"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性别</w:t>
            </w:r>
            <w:r/>
          </w:p>
        </w:tc>
        <w:tc>
          <w:tcPr>
            <w:tcW w:w="602"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年龄</w:t>
            </w:r>
            <w:r/>
          </w:p>
        </w:tc>
        <w:tc>
          <w:tcPr>
            <w:tcW w:w="1275"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文化程度</w:t>
            </w:r>
            <w:r/>
          </w:p>
        </w:tc>
        <w:tc>
          <w:tcPr>
            <w:tcW w:w="1061"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专业</w:t>
            </w:r>
            <w:r/>
          </w:p>
        </w:tc>
        <w:tc>
          <w:tcPr>
            <w:tcW w:w="1322"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技术职称</w:t>
            </w:r>
            <w:r/>
          </w:p>
        </w:tc>
        <w:tc>
          <w:tcPr>
            <w:gridSpan w:val="2"/>
            <w:tcW w:w="1416" w:type="dxa"/>
            <w:vAlign w:val="center"/>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资格证书</w:t>
            </w:r>
            <w:r/>
          </w:p>
        </w:tc>
        <w:tc>
          <w:tcPr>
            <w:tcW w:w="1854"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人事隶属关系</w:t>
            </w:r>
            <w:r/>
          </w:p>
        </w:tc>
        <w:tc>
          <w:tcPr>
            <w:tcW w:w="2472"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主要资历、经验及承担过的管理项目</w:t>
            </w:r>
            <w:r/>
          </w:p>
        </w:tc>
        <w:tc>
          <w:tcPr>
            <w:tcW w:w="1080"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本项目拟担任的职务</w:t>
            </w:r>
            <w:r/>
          </w:p>
        </w:tc>
        <w:tc>
          <w:tcPr>
            <w:tcW w:w="945"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567"/>
        </w:trPr>
        <w:tc>
          <w:tcPr>
            <w:tcW w:w="703"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0"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类别</w:t>
            </w:r>
            <w:r/>
          </w:p>
        </w:tc>
        <w:tc>
          <w:tcPr>
            <w:tcW w:w="708" w:type="dxa"/>
            <w:vAlign w:val="center"/>
            <w:textDirection w:val="lrTb"/>
            <w:noWrap w:val="false"/>
          </w:tcPr>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编号</w:t>
            </w:r>
            <w:r/>
          </w:p>
        </w:tc>
        <w:tc>
          <w:tcPr>
            <w:tcW w:w="1854"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18"/>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48"/>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95"/>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13"/>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jc w:val="left"/>
        <w:spacing w:line="520" w:lineRule="exact"/>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w:t>
      </w:r>
      <w:r/>
    </w:p>
    <w:p>
      <w:pPr>
        <w:ind w:firstLine="480"/>
        <w:jc w:val="left"/>
        <w:spacing w:line="520" w:lineRule="exact"/>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1．资格证书类别一栏按资格证书、岗位证书、培训证书填写。</w:t>
      </w:r>
      <w:r/>
    </w:p>
    <w:p>
      <w:pPr>
        <w:ind w:firstLine="480"/>
        <w:jc w:val="left"/>
        <w:spacing w:line="520" w:lineRule="exact"/>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2．提供人员相关证书、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社保或在职证明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，条目不限于此，可自行添加。</w:t>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r>
      <w:r/>
    </w:p>
    <w:p>
      <w:pPr>
        <w:jc w:val="left"/>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t xml:space="preserve">类似业绩一览表</w:t>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类似业绩一览表</w:t>
      </w:r>
      <w:r/>
    </w:p>
    <w:tbl>
      <w:tblPr>
        <w:tblStyle w:val="1148"/>
        <w:tblW w:w="97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w:t>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合同期（天）</w:t>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bookmarkStart w:id="128" w:name="xh"/>
            <w:r/>
            <w:bookmarkEnd w:id="128"/>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bookmarkStart w:id="129" w:name="XmName"/>
            <w:r/>
            <w:bookmarkEnd w:id="129"/>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bookmarkStart w:id="130" w:name="ZhongBiaoJia"/>
            <w:r/>
            <w:bookmarkEnd w:id="130"/>
            <w:r/>
            <w:r/>
          </w:p>
        </w:tc>
      </w:tr>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bl>
    <w:p>
      <w:pPr>
        <w:jc w:val="center"/>
        <w:spacing w:before="240" w:after="240"/>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left"/>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2"/>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t xml:space="preserve">投标人获得的相关证书</w:t>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各类证书（若有的话）</w:t>
      </w:r>
      <w:r/>
    </w:p>
    <w:p>
      <w:pPr>
        <w:jc w:val="center"/>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center"/>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left"/>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2"/>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t xml:space="preserve">投标人获得的相关奖项</w:t>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各类奖项（若有的话）</w:t>
      </w:r>
      <w:r/>
    </w:p>
    <w:p>
      <w:pPr>
        <w:jc w:val="center"/>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center"/>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both"/>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center"/>
        <w:keepLines w:val="0"/>
        <w:keepNext w:val="0"/>
        <w:pageBreakBefore w:val="0"/>
        <w:spacing w:before="240" w:after="240"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sectPr>
          <w:headerReference w:type="default" r:id="rId23"/>
          <w:headerReference w:type="first" r:id="rId24"/>
          <w:footerReference w:type="default" r:id="rId35"/>
          <w:footerReference w:type="first" r:id="rId36"/>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left"/>
        <w:shd w:val="clear" w:color="auto"/>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bookmarkStart w:id="131" w:name="_Toc13336"/>
      <w:r>
        <w:rPr>
          <w:rFonts w:hint="eastAsia" w:ascii="宋体" w:hAnsi="宋体" w:eastAsia="宋体" w:cs="宋体"/>
          <w:b/>
          <w:caps w:val="0"/>
          <w:smallCaps w:val="0"/>
          <w:color w:val="000000" w:themeColor="text1"/>
          <w:spacing w:val="0"/>
          <w:sz w:val="32"/>
          <w:szCs w:val="22"/>
          <w:highlight w:val="none"/>
          <w:shd w:val="clear" w:color="auto" w:fill="auto"/>
          <w:lang w:val="en-US" w:eastAsia="zh-CN" w:bidi="ar-SA"/>
          <w14:textFill>
            <w14:solidFill>
              <w14:schemeClr w14:val="tx1"/>
            </w14:solidFill>
          </w14:textFill>
        </w:rPr>
        <w:t xml:space="preserve">九、技术要求响应及偏离表</w:t>
      </w:r>
      <w:bookmarkEnd w:id="131"/>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技术要求响应及偏离表</w:t>
      </w:r>
      <w:r/>
    </w:p>
    <w:tbl>
      <w:tblPr>
        <w:tblStyle w:val="1148"/>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招标文件技术要求中的要求</w:t>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投标文件对应要求的服务承诺</w:t>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有无偏离</w:t>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偏离内容及原因</w:t>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备注</w:t>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bl>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1、投标人应根据招标文件技术要求中的要求对照投标人所提供的服务承诺进行逐项评议。</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3、表格不够可另接。</w:t>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主要硬件设备技术参数响应及偏离表</w:t>
      </w:r>
      <w:r/>
    </w:p>
    <w:tbl>
      <w:tblPr>
        <w:tblStyle w:val="1148"/>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招标文件技术要求中的</w:t>
            </w:r>
            <w:r>
              <w:rPr>
                <w:rFonts w:hint="eastAsia" w:ascii="宋体" w:hAnsi="宋体" w:cs="宋体"/>
                <w:b/>
                <w:bCs/>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主要硬件设备技术参数</w:t>
            </w: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要求</w:t>
            </w:r>
            <w:r/>
          </w:p>
        </w:tc>
        <w:tc>
          <w:tcPr>
            <w:tcMar>
              <w:left w:w="0" w:type="dxa"/>
              <w:top w:w="0" w:type="dxa"/>
              <w:right w:w="0" w:type="dxa"/>
              <w:bottom w:w="0" w:type="dxa"/>
            </w:tcMar>
            <w:tcW w:w="2014" w:type="dxa"/>
            <w:vAlign w:val="center"/>
            <w:textDirection w:val="lrTb"/>
            <w:noWrap w:val="false"/>
          </w:tcPr>
          <w:p>
            <w:pPr>
              <w:jc w:val="center"/>
              <w:shd w:val="clear" w:color="auto"/>
              <w:rPr>
                <w:rFonts w:hint="default"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投标文件对应要求的</w:t>
            </w:r>
            <w:r>
              <w:rPr>
                <w:rFonts w:hint="eastAsia" w:ascii="宋体" w:hAnsi="宋体" w:cs="宋体"/>
                <w:b/>
                <w:bCs/>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主要硬件设备技术参数响应</w:t>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有无偏离</w:t>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偏离内容及原因</w:t>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备注</w:t>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bl>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1、投标人应根据招标文件技术要求中的</w:t>
      </w:r>
      <w:r>
        <w:rPr>
          <w:rFonts w:hint="eastAsia" w:ascii="宋体" w:hAnsi="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主要硬件设备技术参数</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要求对照投标人所提供的</w:t>
      </w:r>
      <w:r>
        <w:rPr>
          <w:rFonts w:hint="eastAsia" w:ascii="宋体" w:hAnsi="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主要硬件设备技术参数响应</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进行逐项评议。</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3、表格不够可另接。</w:t>
      </w:r>
      <w:r/>
    </w:p>
    <w:p>
      <w:pPr>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bookmarkStart w:id="132" w:name="_Toc1747"/>
      <w:r>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t xml:space="preserve">十、商务条款响应及偏离表</w:t>
      </w:r>
      <w:bookmarkEnd w:id="132"/>
      <w:r/>
      <w:r/>
    </w:p>
    <w:p>
      <w:pPr>
        <w:jc w:val="center"/>
        <w:keepLines w:val="0"/>
        <w:keepNext w:val="0"/>
        <w:pageBreakBefore w:val="0"/>
        <w:spacing w:before="567" w:after="567" w:line="520" w:lineRule="exact"/>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﻿商务条款响应及偏离表</w:t>
      </w:r>
      <w:r/>
    </w:p>
    <w:tbl>
      <w:tblPr>
        <w:tblStyle w:val="1148"/>
        <w:tblW w:w="97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w:t>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招标文件要求</w:t>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是否响应</w:t>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投标人的承诺或说明</w:t>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tc>
      </w:tr>
    </w:tbl>
    <w:p>
      <w:pPr>
        <w:shd w:val="clear" w:color="auto"/>
        <w:rPr>
          <w:highlight w:val="none"/>
        </w:rPr>
        <w:outlineLvl w:val="1"/>
      </w:pPr>
      <w:r>
        <w:rPr>
          <w:rFonts w:hint="eastAsia" w:ascii="宋体" w:hAnsi="宋体" w:eastAsia="宋体" w:cs="宋体"/>
          <w:caps w:val="0"/>
          <w:smallCaps w:val="0"/>
          <w:color w:val="000000" w:themeColor="text1"/>
          <w:spacing w:val="0"/>
          <w:sz w:val="21"/>
          <w:szCs w:val="22"/>
          <w:highlight w:val="none"/>
          <w:shd w:val="clear" w:color="auto" w:fill="auto"/>
          <w:lang w:val="en-US" w:eastAsia="zh-CN" w:bidi="ar-SA"/>
          <w14:textFill>
            <w14:solidFill>
              <w14:schemeClr w14:val="tx1"/>
            </w14:solidFill>
          </w14:textFill>
        </w:rPr>
        <w:br w:type="page" w:clear="all"/>
      </w:r>
      <w:bookmarkStart w:id="133" w:name="_Toc12990"/>
      <w:r>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t xml:space="preserve">十一、其他材料</w:t>
      </w:r>
      <w:bookmarkEnd w:id="133"/>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outlineLvl w:val="1"/>
      </w:pPr>
      <w:r/>
      <w:bookmarkStart w:id="134" w:name="_Toc26331"/>
      <w:r>
        <w:rPr>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t xml:space="preserve">十二、承诺函</w:t>
      </w:r>
      <w:bookmarkEnd w:id="134"/>
      <w:r/>
      <w:r/>
    </w:p>
    <w:p>
      <w:pPr>
        <w:pStyle w:val="1381"/>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2"/>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承诺函</w:t>
      </w:r>
      <w:r/>
    </w:p>
    <w:p>
      <w:pPr>
        <w:pStyle w:val="1427"/>
        <w:ind w:firstLine="480"/>
        <w:keepLines w:val="0"/>
        <w:keepNext w:val="0"/>
        <w:pageBreakBefore w:val="0"/>
        <w:spacing w:line="520" w:lineRule="exact"/>
        <w:shd w:val="clear" w:color="auto"/>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（一）本单位郑重承诺满足以下要求：</w:t>
      </w:r>
      <w:r/>
    </w:p>
    <w:p>
      <w:pPr>
        <w:pStyle w:val="1427"/>
        <w:ind w:firstLine="480"/>
        <w:keepLines w:val="0"/>
        <w:keepNext w:val="0"/>
        <w:pageBreakBefore w:val="0"/>
        <w:spacing w:line="520" w:lineRule="exact"/>
        <w:shd w:val="clear" w:color="auto"/>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投标人单位负责人为同一人或者存在直接控股、管理关系的不同投标人，不得同时参加本项目的采购活动。</w:t>
      </w:r>
      <w:r/>
    </w:p>
    <w:p>
      <w:pPr>
        <w:pStyle w:val="1427"/>
        <w:ind w:firstLine="480"/>
        <w:keepLines w:val="0"/>
        <w:keepNext w:val="0"/>
        <w:pageBreakBefore w:val="0"/>
        <w:spacing w:line="520" w:lineRule="exact"/>
        <w:shd w:val="clear" w:color="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val="en-US"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凡为采购项目提供整体设计、规范编制或者项目管理、监理、检测等服务的投标人，不得再参加本项目的采购活动。</w:t>
      </w:r>
      <w:r/>
    </w:p>
    <w:p>
      <w:pPr>
        <w:pStyle w:val="1427"/>
        <w:ind w:firstLine="480"/>
        <w:keepLines w:val="0"/>
        <w:keepNext w:val="0"/>
        <w:pageBreakBefore w:val="0"/>
        <w:spacing w:line="520" w:lineRule="exact"/>
        <w:shd w:val="clear" w:color="auto"/>
        <w:widowControl w:val="off"/>
        <w:rPr>
          <w:rFonts w:hint="eastAsia"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（二）本单位郑重承诺，我单位无以下不良信用记录情形：</w:t>
      </w:r>
      <w:r/>
    </w:p>
    <w:p>
      <w:pPr>
        <w:pStyle w:val="1427"/>
        <w:ind w:firstLine="480"/>
        <w:keepLines w:val="0"/>
        <w:keepNext w:val="0"/>
        <w:pageBreakBefore w:val="0"/>
        <w:spacing w:line="520" w:lineRule="exact"/>
        <w:shd w:val="clear" w:color="auto"/>
        <w:widowControl w:val="off"/>
        <w:rPr>
          <w:rFonts w:hint="eastAsia"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1.被人民法院列入失信被执行人；</w:t>
      </w:r>
      <w:r/>
    </w:p>
    <w:p>
      <w:pPr>
        <w:pStyle w:val="1427"/>
        <w:ind w:firstLine="480"/>
        <w:keepLines w:val="0"/>
        <w:keepNext w:val="0"/>
        <w:pageBreakBefore w:val="0"/>
        <w:spacing w:line="520" w:lineRule="exact"/>
        <w:shd w:val="clear" w:color="auto"/>
        <w:widowControl w:val="off"/>
        <w:rPr>
          <w:rFonts w:hint="eastAsia"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2.被税务部门列入重大税收违法案件当事人名单；</w:t>
      </w:r>
      <w:r/>
    </w:p>
    <w:p>
      <w:pPr>
        <w:pStyle w:val="1427"/>
        <w:ind w:firstLine="480"/>
        <w:keepLines w:val="0"/>
        <w:keepNext w:val="0"/>
        <w:pageBreakBefore w:val="0"/>
        <w:spacing w:line="520" w:lineRule="exact"/>
        <w:shd w:val="clear" w:color="auto"/>
        <w:widowControl w:val="off"/>
        <w:rPr>
          <w:rFonts w:hint="eastAsia"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3.被政府采购监管部门列入政府采购严重违法失信行为记录名单；</w:t>
      </w:r>
      <w:r/>
    </w:p>
    <w:p>
      <w:pPr>
        <w:pStyle w:val="1427"/>
        <w:ind w:firstLine="480"/>
        <w:keepLines w:val="0"/>
        <w:keepNext w:val="0"/>
        <w:pageBreakBefore w:val="0"/>
        <w:spacing w:line="520" w:lineRule="exact"/>
        <w:shd w:val="clear" w:color="auto"/>
        <w:widowControl w:val="off"/>
        <w:rPr>
          <w:rFonts w:hint="eastAsia"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4.不符合《政府采购法》第二十二条规定的条件。</w:t>
      </w:r>
      <w:r/>
    </w:p>
    <w:p>
      <w:pPr>
        <w:pStyle w:val="1427"/>
        <w:ind w:firstLine="480"/>
        <w:keepLines w:val="0"/>
        <w:keepNext w:val="0"/>
        <w:pageBreakBefore w:val="0"/>
        <w:spacing w:line="520" w:lineRule="exact"/>
        <w:shd w:val="clear" w:color="auto"/>
        <w:widowControl w:val="off"/>
        <w:rPr>
          <w:rFonts w:hint="eastAsia" w:hAnsi="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我单位已就上述不良信用行为按照招标文件中投标人须知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427"/>
        <w:ind w:firstLine="420"/>
        <w:keepLines w:val="0"/>
        <w:keepNext w:val="0"/>
        <w:pageBreakBefore w:val="0"/>
        <w:spacing w:line="520" w:lineRule="exact"/>
        <w:shd w:val="clear" w:color="auto"/>
        <w:widowControl w:val="off"/>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r>
      <w:r/>
    </w:p>
    <w:p>
      <w:pPr>
        <w:pStyle w:val="1427"/>
        <w:ind w:firstLine="420"/>
        <w:keepLines w:val="0"/>
        <w:keepNext w:val="0"/>
        <w:pageBreakBefore w:val="0"/>
        <w:spacing w:line="520" w:lineRule="exact"/>
        <w:shd w:val="clear" w:color="auto"/>
        <w:widowControl w:val="off"/>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r>
      <w:r/>
    </w:p>
    <w:p>
      <w:pPr>
        <w:pStyle w:val="1427"/>
        <w:ind w:left="0" w:firstLine="5520"/>
        <w:jc w:val="both"/>
        <w:keepLines w:val="0"/>
        <w:keepNext w:val="0"/>
        <w:pageBreakBefore w:val="0"/>
        <w:spacing w:line="520" w:lineRule="exact"/>
        <w:shd w:val="clear" w:color="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投标人名称（公章）：</w:t>
      </w:r>
      <w:r/>
    </w:p>
    <w:p>
      <w:pPr>
        <w:pStyle w:val="1427"/>
        <w:ind w:firstLine="5503"/>
        <w:jc w:val="both"/>
        <w:keepLines w:val="0"/>
        <w:keepNext w:val="0"/>
        <w:pageBreakBefore w:val="0"/>
        <w:spacing w:line="520" w:lineRule="exact"/>
        <w:shd w:val="clear" w:color="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日期：      年     月    日</w:t>
      </w:r>
      <w:r/>
    </w:p>
    <w:p>
      <w:pPr>
        <w:pStyle w:val="1397"/>
        <w:keepLines w:val="0"/>
        <w:keepNext w:val="0"/>
        <w:pageBreakBefore w:val="0"/>
        <w:spacing w:before="240" w:after="240" w:line="520" w:lineRule="exact"/>
        <w:shd w:val="clear" w:color="auto"/>
        <w:widowControl/>
        <w:rPr>
          <w:rFonts w:hint="eastAsia" w:ascii="宋体" w:hAnsi="宋体" w:eastAsia="宋体" w:cs="宋体"/>
          <w:b/>
          <w:bCs/>
          <w:caps w:val="0"/>
          <w:small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lang w:val="en-US" w:eastAsia="zh-CN"/>
          <w14:textFill>
            <w14:solidFill>
              <w14:schemeClr w14:val="tx1"/>
            </w14:solidFill>
          </w14:textFill>
        </w:rPr>
      </w:r>
      <w:r/>
    </w:p>
    <w:p>
      <w:pPr>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77"/>
        <w:jc w:val="center"/>
        <w:spacing w:before="157" w:after="157"/>
        <w:rPr>
          <w:rStyle w:val="1352"/>
          <w:rFonts w:hint="eastAsia" w:ascii="宋体" w:hAnsi="宋体" w:eastAsia="宋体" w:cs="宋体"/>
          <w:color w:val="000000" w:themeColor="text1"/>
          <w:spacing w:val="0"/>
          <w:sz w:val="40"/>
          <w:szCs w:val="40"/>
          <w:highlight w:val="none"/>
          <w14:textFill>
            <w14:solidFill>
              <w14:schemeClr w14:val="tx1"/>
            </w14:solidFill>
          </w14:textFill>
        </w:rPr>
      </w:pPr>
      <w:r>
        <w:rPr>
          <w:rFonts w:hint="eastAsia" w:ascii="宋体" w:hAnsi="宋体" w:eastAsia="宋体" w:cs="宋体"/>
          <w:color w:val="000000" w:themeColor="text1"/>
          <w:spacing w:val="0"/>
          <w:sz w:val="40"/>
          <w:szCs w:val="40"/>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rPr>
        <w:rStyle w:val="1420"/>
      </w:rPr>
      <w:framePr w:wrap="around" w:vAnchor="text" w:hAnchor="margin" w:xAlign="center" w:y="1"/>
    </w:pPr>
    <w:r>
      <w:fldChar w:fldCharType="begin"/>
    </w:r>
    <w:r>
      <w:rPr>
        <w:rStyle w:val="1420"/>
      </w:rPr>
      <w:instrText xml:space="preserve">PAGE  </w:instrText>
    </w:r>
    <w:r>
      <w:fldChar w:fldCharType="end"/>
    </w:r>
    <w:r/>
  </w:p>
  <w:p>
    <w:pPr>
      <w:pStyle w:val="14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ind w:firstLine="36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9070" cy="16256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7893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1pt;height:12.8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ind w:firstLine="360"/>
      <w:rPr>
        <w:rStyle w:val="1420"/>
      </w:rPr>
      <w:framePr w:wrap="around" w:vAnchor="text" w:hAnchor="margin" w:xAlign="right" w:y="1"/>
    </w:pPr>
    <w:r>
      <w:fldChar w:fldCharType="begin"/>
    </w:r>
    <w:r>
      <w:rPr>
        <w:rStyle w:val="1420"/>
        <w:color w:val="000000"/>
      </w:rPr>
      <w:instrText xml:space="preserve">PAGE  </w:instrText>
    </w:r>
    <w:r>
      <w:fldChar w:fldCharType="end"/>
    </w:r>
    <w:r/>
  </w:p>
  <w:p>
    <w:pPr>
      <w:pStyle w:val="1419"/>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center"/>
    </w:pPr>
    <w:r>
      <w:fldChar w:fldCharType="begin"/>
    </w:r>
    <w:r>
      <w:instrText xml:space="preserve">PAGE \* MERGEFORMAT</w:instrText>
    </w:r>
    <w:r>
      <w:fldChar w:fldCharType="separate"/>
    </w:r>
    <w:r>
      <w:t xml:space="preserve">6</w:t>
    </w:r>
    <w:r>
      <w:fldChar w:fldCharType="end"/>
    </w:r>
    <w:r/>
  </w:p>
  <w:p>
    <w:pPr>
      <w:pStyle w:val="13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19</w:t>
                          </w:r>
                          <w:r>
                            <w:rPr>
                              <w:rFonts w:hint="default" w:ascii="Calibri" w:hAnsi="Calibri" w:eastAsia="宋体" w:cs="Times New Roman"/>
                              <w:sz w:val="21"/>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19</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18</w:t>
                          </w:r>
                          <w:r>
                            <w:rPr>
                              <w:rFonts w:hint="default" w:ascii="Calibri" w:hAnsi="Calibri" w:eastAsia="宋体" w:cs="Times New Roman"/>
                              <w:sz w:val="21"/>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18</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rPr>
        <w:sz w:val="24"/>
        <w:szCs w:val="24"/>
      </w:rPr>
      <w:pBdr>
        <w:bottom w:val="single" w:color="000000" w:sz="4" w:space="1"/>
      </w:pBdr>
    </w:pPr>
    <w:r>
      <w:rPr>
        <w:rFonts w:hint="eastAsia"/>
        <w:sz w:val="24"/>
        <w:szCs w:val="24"/>
      </w:rPr>
      <w:t xml:space="preserve">苏州政合信咨询管理服务有限公司招标文件</w:t>
    </w:r>
    <w:r/>
  </w:p>
  <w:p>
    <w:pPr>
      <w:pStyle w:val="141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single" w:color="auto" w:sz="4" w:space="1"/>
      </w:pBdr>
    </w:pPr>
    <w:r>
      <w:rPr>
        <w:rFonts w:hint="eastAsia" w:ascii="Calibri" w:hAnsi="Calibri" w:eastAsia="宋体" w:cs="Times New Roman"/>
        <w:sz w:val="24"/>
        <w:szCs w:val="24"/>
        <w:lang w:val="en-US" w:eastAsia="zh-CN" w:bidi="ar-SA"/>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single" w:color="auto" w:sz="4" w:space="1"/>
      </w:pBdr>
    </w:pPr>
    <w:r>
      <w:rPr>
        <w:rFonts w:hint="eastAsia" w:ascii="Calibri" w:hAnsi="Calibri" w:eastAsia="宋体" w:cs="Times New Roman"/>
        <w:sz w:val="24"/>
        <w:szCs w:val="24"/>
        <w:lang w:val="en-US" w:eastAsia="zh-CN" w:bidi="ar-SA"/>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single" w:color="000000"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left"/>
      <w:pBdr>
        <w:bottom w:val="none" w:color="auto" w:sz="0" w:space="1"/>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0"/>
      </w:pBdr>
    </w:pPr>
    <w:r>
      <w:rPr>
        <w:rFonts w:hint="default" w:ascii="Calibri" w:hAnsi="Calibri" w:eastAsia="宋体" w:cs="Times New Roman"/>
        <w:sz w:val="18"/>
        <w:szCs w:val="18"/>
        <w:lang w:val="en-US" w:eastAsia="zh-CN" w:bidi="ar-SA"/>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1"/>
      </w:pBdr>
    </w:pPr>
    <w:r>
      <w:rPr>
        <w:rFonts w:hint="default" w:ascii="Calibri" w:hAnsi="Calibri" w:eastAsia="宋体" w:cs="Times New Roman"/>
        <w:sz w:val="18"/>
        <w:szCs w:val="18"/>
        <w:lang w:val="en-US" w:eastAsia="zh-CN" w:bidi="ar-SA"/>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pBdr>
        <w:bottom w:val="none" w:color="000000" w:sz="0" w:space="0"/>
      </w:pBdr>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7" w:default="1">
    <w:name w:val="Normal"/>
    <w:link w:val="1421"/>
    <w:uiPriority w:val="0"/>
    <w:qFormat/>
    <w:pPr>
      <w:jc w:val="both"/>
      <w:widowControl w:val="off"/>
    </w:pPr>
    <w:rPr>
      <w:rFonts w:hint="default" w:ascii="Calibri" w:hAnsi="Calibri" w:eastAsia="宋体" w:cs="Times New Roman"/>
      <w:sz w:val="21"/>
      <w:szCs w:val="22"/>
      <w:lang w:val="en-US" w:eastAsia="zh-CN" w:bidi="ar-SA"/>
    </w:rPr>
  </w:style>
  <w:style w:type="paragraph" w:styleId="1138">
    <w:name w:val="Heading 1"/>
    <w:basedOn w:val="1137"/>
    <w:next w:val="1137"/>
    <w:link w:val="1185"/>
    <w:uiPriority w:val="9"/>
    <w:qFormat/>
    <w:pPr>
      <w:keepLines/>
      <w:keepNext/>
      <w:spacing w:before="480" w:after="200"/>
      <w:outlineLvl w:val="0"/>
    </w:pPr>
    <w:rPr>
      <w:rFonts w:ascii="Arial" w:hAnsi="Arial" w:eastAsia="Arial" w:cs="Arial"/>
      <w:sz w:val="40"/>
      <w:szCs w:val="40"/>
    </w:rPr>
  </w:style>
  <w:style w:type="paragraph" w:styleId="1139">
    <w:name w:val="Heading 2"/>
    <w:basedOn w:val="1137"/>
    <w:next w:val="1137"/>
    <w:link w:val="1186"/>
    <w:uiPriority w:val="9"/>
    <w:unhideWhenUsed/>
    <w:qFormat/>
    <w:pPr>
      <w:keepLines/>
      <w:keepNext/>
      <w:spacing w:before="360" w:after="200"/>
      <w:outlineLvl w:val="1"/>
    </w:pPr>
    <w:rPr>
      <w:rFonts w:ascii="Arial" w:hAnsi="Arial" w:eastAsia="Arial" w:cs="Arial"/>
      <w:sz w:val="34"/>
    </w:rPr>
  </w:style>
  <w:style w:type="paragraph" w:styleId="1140">
    <w:name w:val="Heading 3"/>
    <w:basedOn w:val="1137"/>
    <w:next w:val="1137"/>
    <w:link w:val="1187"/>
    <w:uiPriority w:val="9"/>
    <w:unhideWhenUsed/>
    <w:qFormat/>
    <w:pPr>
      <w:keepLines/>
      <w:keepNext/>
      <w:spacing w:before="320" w:after="200"/>
      <w:outlineLvl w:val="2"/>
    </w:pPr>
    <w:rPr>
      <w:rFonts w:ascii="Arial" w:hAnsi="Arial" w:eastAsia="Arial" w:cs="Arial"/>
      <w:sz w:val="30"/>
      <w:szCs w:val="30"/>
    </w:rPr>
  </w:style>
  <w:style w:type="paragraph" w:styleId="1141">
    <w:name w:val="Heading 4"/>
    <w:basedOn w:val="1137"/>
    <w:next w:val="1137"/>
    <w:link w:val="1188"/>
    <w:uiPriority w:val="9"/>
    <w:unhideWhenUsed/>
    <w:qFormat/>
    <w:pPr>
      <w:keepLines/>
      <w:keepNext/>
      <w:spacing w:before="320" w:after="200"/>
      <w:outlineLvl w:val="3"/>
    </w:pPr>
    <w:rPr>
      <w:rFonts w:ascii="Arial" w:hAnsi="Arial" w:eastAsia="Arial" w:cs="Arial"/>
      <w:b/>
      <w:bCs/>
      <w:sz w:val="26"/>
      <w:szCs w:val="26"/>
    </w:rPr>
  </w:style>
  <w:style w:type="paragraph" w:styleId="1142">
    <w:name w:val="Heading 5"/>
    <w:basedOn w:val="1137"/>
    <w:next w:val="1137"/>
    <w:link w:val="1189"/>
    <w:uiPriority w:val="9"/>
    <w:unhideWhenUsed/>
    <w:qFormat/>
    <w:pPr>
      <w:keepLines/>
      <w:keepNext/>
      <w:spacing w:before="320" w:after="200"/>
      <w:outlineLvl w:val="4"/>
    </w:pPr>
    <w:rPr>
      <w:rFonts w:ascii="Arial" w:hAnsi="Arial" w:eastAsia="Arial" w:cs="Arial"/>
      <w:b/>
      <w:bCs/>
      <w:sz w:val="24"/>
      <w:szCs w:val="24"/>
    </w:rPr>
  </w:style>
  <w:style w:type="paragraph" w:styleId="1143">
    <w:name w:val="Heading 6"/>
    <w:basedOn w:val="1137"/>
    <w:next w:val="1137"/>
    <w:link w:val="1190"/>
    <w:uiPriority w:val="9"/>
    <w:unhideWhenUsed/>
    <w:qFormat/>
    <w:pPr>
      <w:keepLines/>
      <w:keepNext/>
      <w:spacing w:before="320" w:after="200"/>
      <w:outlineLvl w:val="5"/>
    </w:pPr>
    <w:rPr>
      <w:rFonts w:ascii="Arial" w:hAnsi="Arial" w:eastAsia="Arial" w:cs="Arial"/>
      <w:b/>
      <w:bCs/>
      <w:sz w:val="22"/>
      <w:szCs w:val="22"/>
    </w:rPr>
  </w:style>
  <w:style w:type="paragraph" w:styleId="1144">
    <w:name w:val="Heading 7"/>
    <w:basedOn w:val="1137"/>
    <w:next w:val="1137"/>
    <w:link w:val="1191"/>
    <w:uiPriority w:val="9"/>
    <w:unhideWhenUsed/>
    <w:qFormat/>
    <w:pPr>
      <w:keepLines/>
      <w:keepNext/>
      <w:spacing w:before="320" w:after="200"/>
      <w:outlineLvl w:val="6"/>
    </w:pPr>
    <w:rPr>
      <w:rFonts w:ascii="Arial" w:hAnsi="Arial" w:eastAsia="Arial" w:cs="Arial"/>
      <w:b/>
      <w:bCs/>
      <w:i/>
      <w:iCs/>
      <w:sz w:val="22"/>
      <w:szCs w:val="22"/>
    </w:rPr>
  </w:style>
  <w:style w:type="paragraph" w:styleId="1145">
    <w:name w:val="Heading 8"/>
    <w:basedOn w:val="1137"/>
    <w:next w:val="1137"/>
    <w:link w:val="1192"/>
    <w:uiPriority w:val="9"/>
    <w:unhideWhenUsed/>
    <w:qFormat/>
    <w:pPr>
      <w:keepLines/>
      <w:keepNext/>
      <w:spacing w:before="320" w:after="200"/>
      <w:outlineLvl w:val="7"/>
    </w:pPr>
    <w:rPr>
      <w:rFonts w:ascii="Arial" w:hAnsi="Arial" w:eastAsia="Arial" w:cs="Arial"/>
      <w:i/>
      <w:iCs/>
      <w:sz w:val="22"/>
      <w:szCs w:val="22"/>
    </w:rPr>
  </w:style>
  <w:style w:type="paragraph" w:styleId="1146">
    <w:name w:val="Heading 9"/>
    <w:basedOn w:val="1137"/>
    <w:next w:val="1137"/>
    <w:link w:val="1193"/>
    <w:uiPriority w:val="9"/>
    <w:unhideWhenUsed/>
    <w:qFormat/>
    <w:pPr>
      <w:keepLines/>
      <w:keepNext/>
      <w:spacing w:before="320" w:after="200"/>
      <w:outlineLvl w:val="8"/>
    </w:pPr>
    <w:rPr>
      <w:rFonts w:ascii="Arial" w:hAnsi="Arial" w:eastAsia="Arial" w:cs="Arial"/>
      <w:i/>
      <w:iCs/>
      <w:sz w:val="21"/>
      <w:szCs w:val="21"/>
    </w:rPr>
  </w:style>
  <w:style w:type="character" w:styleId="1147" w:default="1">
    <w:name w:val="Default Paragraph Font"/>
    <w:uiPriority w:val="1"/>
    <w:semiHidden/>
    <w:unhideWhenUsed/>
    <w:qFormat/>
  </w:style>
  <w:style w:type="table" w:styleId="1148" w:default="1">
    <w:name w:val="Normal Table"/>
    <w:uiPriority w:val="99"/>
    <w:semiHidden/>
    <w:unhideWhenUsed/>
    <w:qFormat/>
    <w:tblPr>
      <w:tblCellMar>
        <w:left w:w="108" w:type="dxa"/>
        <w:top w:w="0" w:type="dxa"/>
        <w:right w:w="108" w:type="dxa"/>
        <w:bottom w:w="0" w:type="dxa"/>
      </w:tblCellMar>
    </w:tblPr>
  </w:style>
  <w:style w:type="paragraph" w:styleId="1149">
    <w:name w:val="toc 7"/>
    <w:basedOn w:val="1137"/>
    <w:next w:val="1137"/>
    <w:uiPriority w:val="39"/>
    <w:unhideWhenUsed/>
    <w:qFormat/>
    <w:pPr>
      <w:ind w:left="1701" w:right="0" w:firstLine="0"/>
      <w:spacing w:after="57"/>
    </w:pPr>
  </w:style>
  <w:style w:type="paragraph" w:styleId="1150">
    <w:name w:val="Caption"/>
    <w:basedOn w:val="1137"/>
    <w:next w:val="11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1">
    <w:name w:val="annotation text"/>
    <w:basedOn w:val="1137"/>
    <w:uiPriority w:val="99"/>
    <w:semiHidden/>
    <w:unhideWhenUsed/>
    <w:qFormat/>
    <w:pPr>
      <w:jc w:val="left"/>
    </w:pPr>
  </w:style>
  <w:style w:type="paragraph" w:styleId="1152">
    <w:name w:val="Body Text"/>
    <w:basedOn w:val="1137"/>
    <w:next w:val="1153"/>
    <w:uiPriority w:val="0"/>
    <w:qFormat/>
    <w:pPr>
      <w:spacing w:line="400" w:lineRule="exact"/>
    </w:pPr>
    <w:rPr>
      <w:rFonts w:ascii="楷体_GB2312" w:hAnsi="Times New Roman" w:cs="Times New Roman"/>
      <w:sz w:val="28"/>
    </w:rPr>
  </w:style>
  <w:style w:type="paragraph" w:styleId="1153">
    <w:name w:val="Body Text First Indent"/>
    <w:basedOn w:val="1152"/>
    <w:uiPriority w:val="0"/>
    <w:qFormat/>
    <w:pPr>
      <w:ind w:firstLine="420"/>
    </w:pPr>
  </w:style>
  <w:style w:type="paragraph" w:styleId="1154">
    <w:name w:val="Body Text Indent"/>
    <w:basedOn w:val="1137"/>
    <w:next w:val="1137"/>
    <w:uiPriority w:val="0"/>
    <w:qFormat/>
    <w:pPr>
      <w:ind w:firstLine="645"/>
    </w:pPr>
    <w:rPr>
      <w:rFonts w:ascii="楷体_GB2312" w:hAnsi="宋体" w:eastAsia="楷体_GB2312" w:cs="宋体"/>
      <w:sz w:val="32"/>
      <w:szCs w:val="32"/>
    </w:rPr>
  </w:style>
  <w:style w:type="paragraph" w:styleId="1155">
    <w:name w:val="Block Text"/>
    <w:basedOn w:val="1137"/>
    <w:uiPriority w:val="0"/>
    <w:qFormat/>
    <w:pPr>
      <w:ind w:left="1440" w:right="700"/>
      <w:spacing w:after="120"/>
    </w:pPr>
    <w:rPr>
      <w:rFonts w:ascii="Times New Roman" w:hAnsi="Times New Roman"/>
    </w:rPr>
  </w:style>
  <w:style w:type="paragraph" w:styleId="1156">
    <w:name w:val="index 4"/>
    <w:basedOn w:val="1137"/>
    <w:next w:val="1137"/>
    <w:uiPriority w:val="99"/>
    <w:unhideWhenUsed/>
    <w:qFormat/>
    <w:pPr>
      <w:ind w:left="600"/>
    </w:pPr>
  </w:style>
  <w:style w:type="paragraph" w:styleId="1157">
    <w:name w:val="toc 5"/>
    <w:basedOn w:val="1137"/>
    <w:next w:val="1137"/>
    <w:uiPriority w:val="39"/>
    <w:unhideWhenUsed/>
    <w:qFormat/>
    <w:pPr>
      <w:ind w:left="1134" w:right="0" w:firstLine="0"/>
      <w:spacing w:after="57"/>
    </w:pPr>
  </w:style>
  <w:style w:type="paragraph" w:styleId="1158">
    <w:name w:val="toc 3"/>
    <w:basedOn w:val="1137"/>
    <w:next w:val="1137"/>
    <w:uiPriority w:val="39"/>
    <w:unhideWhenUsed/>
    <w:qFormat/>
    <w:pPr>
      <w:ind w:left="567" w:right="0" w:firstLine="0"/>
      <w:spacing w:after="57"/>
    </w:pPr>
  </w:style>
  <w:style w:type="paragraph" w:styleId="1159">
    <w:name w:val="toc 8"/>
    <w:basedOn w:val="1137"/>
    <w:next w:val="1137"/>
    <w:uiPriority w:val="39"/>
    <w:unhideWhenUsed/>
    <w:qFormat/>
    <w:pPr>
      <w:ind w:left="1984" w:right="0" w:firstLine="0"/>
      <w:spacing w:after="57"/>
    </w:pPr>
  </w:style>
  <w:style w:type="paragraph" w:styleId="1160">
    <w:name w:val="endnote text"/>
    <w:basedOn w:val="1137"/>
    <w:link w:val="1331"/>
    <w:uiPriority w:val="99"/>
    <w:semiHidden/>
    <w:unhideWhenUsed/>
    <w:qFormat/>
    <w:pPr>
      <w:spacing w:after="0" w:line="240" w:lineRule="auto"/>
    </w:pPr>
    <w:rPr>
      <w:sz w:val="20"/>
    </w:rPr>
  </w:style>
  <w:style w:type="paragraph" w:styleId="1161">
    <w:name w:val="Balloon Text"/>
    <w:basedOn w:val="1137"/>
    <w:uiPriority w:val="0"/>
    <w:qFormat/>
    <w:rPr>
      <w:sz w:val="18"/>
      <w:szCs w:val="18"/>
    </w:rPr>
  </w:style>
  <w:style w:type="paragraph" w:styleId="1162">
    <w:name w:val="Footer"/>
    <w:basedOn w:val="1137"/>
    <w:link w:val="1204"/>
    <w:uiPriority w:val="99"/>
    <w:unhideWhenUsed/>
    <w:qFormat/>
    <w:pPr>
      <w:spacing w:after="0" w:line="240" w:lineRule="auto"/>
      <w:tabs>
        <w:tab w:val="center" w:pos="7143" w:leader="none"/>
        <w:tab w:val="right" w:pos="14287" w:leader="none"/>
      </w:tabs>
    </w:pPr>
  </w:style>
  <w:style w:type="paragraph" w:styleId="1163">
    <w:name w:val="envelope return"/>
    <w:basedOn w:val="1137"/>
    <w:uiPriority w:val="99"/>
    <w:qFormat/>
    <w:rPr>
      <w:rFonts w:ascii="Arial" w:hAnsi="Arial"/>
    </w:rPr>
  </w:style>
  <w:style w:type="paragraph" w:styleId="1164">
    <w:name w:val="Header"/>
    <w:basedOn w:val="1137"/>
    <w:link w:val="1202"/>
    <w:uiPriority w:val="99"/>
    <w:unhideWhenUsed/>
    <w:qFormat/>
    <w:pPr>
      <w:spacing w:after="0" w:line="240" w:lineRule="auto"/>
      <w:tabs>
        <w:tab w:val="center" w:pos="7143" w:leader="none"/>
        <w:tab w:val="right" w:pos="14287" w:leader="none"/>
      </w:tabs>
    </w:pPr>
  </w:style>
  <w:style w:type="paragraph" w:styleId="1165">
    <w:name w:val="toc 1"/>
    <w:basedOn w:val="1137"/>
    <w:next w:val="1137"/>
    <w:uiPriority w:val="39"/>
    <w:unhideWhenUsed/>
    <w:qFormat/>
    <w:pPr>
      <w:ind w:left="0" w:right="0" w:firstLine="0"/>
      <w:spacing w:after="57"/>
    </w:pPr>
  </w:style>
  <w:style w:type="paragraph" w:styleId="1166">
    <w:name w:val="toc 4"/>
    <w:basedOn w:val="1137"/>
    <w:next w:val="1137"/>
    <w:uiPriority w:val="39"/>
    <w:unhideWhenUsed/>
    <w:qFormat/>
    <w:pPr>
      <w:ind w:left="850" w:right="0" w:firstLine="0"/>
      <w:spacing w:after="57"/>
    </w:pPr>
  </w:style>
  <w:style w:type="paragraph" w:styleId="1167">
    <w:name w:val="Subtitle"/>
    <w:basedOn w:val="1137"/>
    <w:next w:val="1137"/>
    <w:link w:val="1197"/>
    <w:uiPriority w:val="11"/>
    <w:qFormat/>
    <w:pPr>
      <w:spacing w:before="200" w:after="200"/>
    </w:pPr>
    <w:rPr>
      <w:sz w:val="24"/>
      <w:szCs w:val="24"/>
    </w:rPr>
  </w:style>
  <w:style w:type="paragraph" w:styleId="1168">
    <w:name w:val="footnote text"/>
    <w:basedOn w:val="1137"/>
    <w:link w:val="1330"/>
    <w:uiPriority w:val="99"/>
    <w:semiHidden/>
    <w:unhideWhenUsed/>
    <w:qFormat/>
    <w:pPr>
      <w:spacing w:after="40" w:line="240" w:lineRule="auto"/>
    </w:pPr>
    <w:rPr>
      <w:sz w:val="18"/>
    </w:rPr>
  </w:style>
  <w:style w:type="paragraph" w:styleId="1169">
    <w:name w:val="toc 6"/>
    <w:basedOn w:val="1137"/>
    <w:next w:val="1137"/>
    <w:uiPriority w:val="39"/>
    <w:unhideWhenUsed/>
    <w:qFormat/>
    <w:pPr>
      <w:ind w:left="1417" w:right="0" w:firstLine="0"/>
      <w:spacing w:after="57"/>
    </w:pPr>
  </w:style>
  <w:style w:type="paragraph" w:styleId="1170">
    <w:name w:val="table of figures"/>
    <w:basedOn w:val="1137"/>
    <w:next w:val="1137"/>
    <w:uiPriority w:val="99"/>
    <w:unhideWhenUsed/>
    <w:qFormat/>
    <w:pPr>
      <w:spacing w:after="0" w:afterAutospacing="0"/>
    </w:pPr>
  </w:style>
  <w:style w:type="paragraph" w:styleId="1171">
    <w:name w:val="toc 2"/>
    <w:basedOn w:val="1137"/>
    <w:next w:val="1137"/>
    <w:uiPriority w:val="39"/>
    <w:unhideWhenUsed/>
    <w:qFormat/>
    <w:pPr>
      <w:ind w:left="283" w:right="0" w:firstLine="0"/>
      <w:spacing w:after="57"/>
    </w:pPr>
  </w:style>
  <w:style w:type="paragraph" w:styleId="1172">
    <w:name w:val="toc 9"/>
    <w:basedOn w:val="1137"/>
    <w:next w:val="1137"/>
    <w:uiPriority w:val="39"/>
    <w:unhideWhenUsed/>
    <w:qFormat/>
    <w:pPr>
      <w:ind w:left="2268" w:right="0" w:firstLine="0"/>
      <w:spacing w:after="57"/>
    </w:pPr>
  </w:style>
  <w:style w:type="paragraph" w:styleId="1173">
    <w:name w:val="Normal (Web)"/>
    <w:basedOn w:val="1137"/>
    <w:uiPriority w:val="0"/>
    <w:qFormat/>
    <w:pPr>
      <w:ind w:left="0" w:right="0"/>
      <w:jc w:val="left"/>
      <w:spacing w:before="0" w:beforeAutospacing="1" w:after="0" w:afterAutospacing="1"/>
    </w:pPr>
    <w:rPr>
      <w:sz w:val="24"/>
      <w:lang w:val="en-US" w:eastAsia="zh-CN" w:bidi="ar"/>
    </w:rPr>
  </w:style>
  <w:style w:type="paragraph" w:styleId="1174">
    <w:name w:val="Title"/>
    <w:basedOn w:val="1137"/>
    <w:next w:val="1137"/>
    <w:link w:val="1196"/>
    <w:uiPriority w:val="10"/>
    <w:qFormat/>
    <w:pPr>
      <w:contextualSpacing/>
      <w:spacing w:before="300" w:after="200"/>
    </w:pPr>
    <w:rPr>
      <w:sz w:val="48"/>
      <w:szCs w:val="48"/>
    </w:rPr>
  </w:style>
  <w:style w:type="paragraph" w:styleId="1175">
    <w:name w:val="Body Text First Indent 2"/>
    <w:uiPriority w:val="0"/>
    <w:qFormat/>
    <w:pPr>
      <w:ind w:firstLine="200"/>
      <w:jc w:val="both"/>
      <w:spacing w:line="360" w:lineRule="auto"/>
      <w:widowControl w:val="off"/>
    </w:pPr>
    <w:rPr>
      <w:rFonts w:hint="default" w:ascii="宋体" w:hAnsi="宋体" w:eastAsia="宋体" w:cs="宋体"/>
      <w:sz w:val="21"/>
      <w:szCs w:val="20"/>
      <w:lang w:val="en-US" w:eastAsia="zh-CN" w:bidi="ar-SA"/>
    </w:rPr>
  </w:style>
  <w:style w:type="table" w:styleId="11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7">
    <w:name w:val="endnote reference"/>
    <w:uiPriority w:val="99"/>
    <w:semiHidden/>
    <w:unhideWhenUsed/>
    <w:qFormat/>
    <w:rPr>
      <w:vertAlign w:val="superscript"/>
    </w:rPr>
  </w:style>
  <w:style w:type="character" w:styleId="1178">
    <w:name w:val="Emphasis"/>
    <w:basedOn w:val="1147"/>
    <w:uiPriority w:val="20"/>
    <w:qFormat/>
    <w:rPr>
      <w:i/>
    </w:rPr>
  </w:style>
  <w:style w:type="character" w:styleId="1179">
    <w:name w:val="Hyperlink"/>
    <w:uiPriority w:val="99"/>
    <w:unhideWhenUsed/>
    <w:qFormat/>
    <w:rPr>
      <w:color w:val="0000ff" w:themeColor="hyperlink"/>
      <w:u w:val="single"/>
      <w14:textFill>
        <w14:solidFill>
          <w14:schemeClr w14:val="hlink"/>
        </w14:solidFill>
      </w14:textFill>
    </w:rPr>
  </w:style>
  <w:style w:type="character" w:styleId="1180">
    <w:name w:val="footnote reference"/>
    <w:uiPriority w:val="99"/>
    <w:unhideWhenUsed/>
    <w:qFormat/>
    <w:rPr>
      <w:vertAlign w:val="superscript"/>
    </w:rPr>
  </w:style>
  <w:style w:type="paragraph" w:styleId="1181" w:customStyle="1">
    <w:name w:val="首行缩进"/>
    <w:basedOn w:val="1137"/>
    <w:uiPriority w:val="0"/>
    <w:qFormat/>
    <w:pPr>
      <w:ind w:firstLine="480"/>
      <w:jc w:val="left"/>
      <w:spacing w:line="360" w:lineRule="auto"/>
    </w:pPr>
    <w:rPr>
      <w:rFonts w:ascii="宋体" w:hAnsi="宋体"/>
      <w:sz w:val="24"/>
    </w:rPr>
  </w:style>
  <w:style w:type="paragraph" w:styleId="1182" w:customStyle="1">
    <w:name w:val="纯文本1"/>
    <w:basedOn w:val="1137"/>
    <w:uiPriority w:val="99"/>
    <w:qFormat/>
    <w:rPr>
      <w:rFonts w:ascii="宋体" w:hAnsi="宋体"/>
      <w:szCs w:val="21"/>
    </w:rPr>
  </w:style>
  <w:style w:type="paragraph" w:styleId="1183" w:customStyle="1">
    <w:name w:val="段"/>
    <w:next w:val="113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84" w:customStyle="1">
    <w:name w:val="表格文字"/>
    <w:basedOn w:val="1152"/>
    <w:next w:val="1152"/>
    <w:uiPriority w:val="0"/>
    <w:qFormat/>
    <w:pPr>
      <w:jc w:val="left"/>
      <w:spacing w:line="420" w:lineRule="atLeast"/>
    </w:pPr>
    <w:rPr>
      <w:szCs w:val="20"/>
    </w:rPr>
  </w:style>
  <w:style w:type="character" w:styleId="1185" w:customStyle="1">
    <w:name w:val="Heading 1 Char"/>
    <w:link w:val="1138"/>
    <w:uiPriority w:val="9"/>
    <w:qFormat/>
    <w:rPr>
      <w:rFonts w:ascii="Arial" w:hAnsi="Arial" w:eastAsia="Arial" w:cs="Arial"/>
      <w:sz w:val="40"/>
      <w:szCs w:val="40"/>
    </w:rPr>
  </w:style>
  <w:style w:type="character" w:styleId="1186" w:customStyle="1">
    <w:name w:val="Heading 2 Char"/>
    <w:link w:val="1139"/>
    <w:uiPriority w:val="9"/>
    <w:qFormat/>
    <w:rPr>
      <w:rFonts w:ascii="Arial" w:hAnsi="Arial" w:eastAsia="Arial" w:cs="Arial"/>
      <w:sz w:val="34"/>
    </w:rPr>
  </w:style>
  <w:style w:type="character" w:styleId="1187" w:customStyle="1">
    <w:name w:val="Heading 3 Char"/>
    <w:link w:val="1140"/>
    <w:uiPriority w:val="9"/>
    <w:qFormat/>
    <w:rPr>
      <w:rFonts w:ascii="Arial" w:hAnsi="Arial" w:eastAsia="Arial" w:cs="Arial"/>
      <w:sz w:val="30"/>
      <w:szCs w:val="30"/>
    </w:rPr>
  </w:style>
  <w:style w:type="character" w:styleId="1188" w:customStyle="1">
    <w:name w:val="Heading 4 Char"/>
    <w:link w:val="1141"/>
    <w:uiPriority w:val="9"/>
    <w:qFormat/>
    <w:rPr>
      <w:rFonts w:ascii="Arial" w:hAnsi="Arial" w:eastAsia="Arial" w:cs="Arial"/>
      <w:b/>
      <w:bCs/>
      <w:sz w:val="26"/>
      <w:szCs w:val="26"/>
    </w:rPr>
  </w:style>
  <w:style w:type="character" w:styleId="1189" w:customStyle="1">
    <w:name w:val="Heading 5 Char"/>
    <w:link w:val="1142"/>
    <w:uiPriority w:val="9"/>
    <w:qFormat/>
    <w:rPr>
      <w:rFonts w:ascii="Arial" w:hAnsi="Arial" w:eastAsia="Arial" w:cs="Arial"/>
      <w:b/>
      <w:bCs/>
      <w:sz w:val="24"/>
      <w:szCs w:val="24"/>
    </w:rPr>
  </w:style>
  <w:style w:type="character" w:styleId="1190" w:customStyle="1">
    <w:name w:val="Heading 6 Char"/>
    <w:link w:val="1143"/>
    <w:uiPriority w:val="9"/>
    <w:qFormat/>
    <w:rPr>
      <w:rFonts w:ascii="Arial" w:hAnsi="Arial" w:eastAsia="Arial" w:cs="Arial"/>
      <w:b/>
      <w:bCs/>
      <w:sz w:val="22"/>
      <w:szCs w:val="22"/>
    </w:rPr>
  </w:style>
  <w:style w:type="character" w:styleId="1191" w:customStyle="1">
    <w:name w:val="Heading 7 Char"/>
    <w:link w:val="1144"/>
    <w:uiPriority w:val="9"/>
    <w:qFormat/>
    <w:rPr>
      <w:rFonts w:ascii="Arial" w:hAnsi="Arial" w:eastAsia="Arial" w:cs="Arial"/>
      <w:b/>
      <w:bCs/>
      <w:i/>
      <w:iCs/>
      <w:sz w:val="22"/>
      <w:szCs w:val="22"/>
    </w:rPr>
  </w:style>
  <w:style w:type="character" w:styleId="1192" w:customStyle="1">
    <w:name w:val="Heading 8 Char"/>
    <w:link w:val="1145"/>
    <w:uiPriority w:val="9"/>
    <w:qFormat/>
    <w:rPr>
      <w:rFonts w:ascii="Arial" w:hAnsi="Arial" w:eastAsia="Arial" w:cs="Arial"/>
      <w:i/>
      <w:iCs/>
      <w:sz w:val="22"/>
      <w:szCs w:val="22"/>
    </w:rPr>
  </w:style>
  <w:style w:type="character" w:styleId="1193" w:customStyle="1">
    <w:name w:val="Heading 9 Char"/>
    <w:link w:val="1146"/>
    <w:uiPriority w:val="9"/>
    <w:qFormat/>
    <w:rPr>
      <w:rFonts w:ascii="Arial" w:hAnsi="Arial" w:eastAsia="Arial" w:cs="Arial"/>
      <w:i/>
      <w:iCs/>
      <w:sz w:val="21"/>
      <w:szCs w:val="21"/>
    </w:rPr>
  </w:style>
  <w:style w:type="paragraph" w:styleId="1194">
    <w:name w:val="List Paragraph"/>
    <w:basedOn w:val="1137"/>
    <w:uiPriority w:val="34"/>
    <w:qFormat/>
    <w:pPr>
      <w:contextualSpacing/>
      <w:ind w:left="720"/>
    </w:pPr>
  </w:style>
  <w:style w:type="paragraph" w:styleId="1195">
    <w:name w:val="No Spacing"/>
    <w:uiPriority w:val="1"/>
    <w:qFormat/>
    <w:pPr>
      <w:spacing w:before="0" w:after="0" w:line="240" w:lineRule="auto"/>
    </w:pPr>
    <w:rPr>
      <w:rFonts w:hint="default" w:ascii="Times New Roman" w:hAnsi="Times New Roman" w:eastAsia="宋体" w:cs="Times New Roman"/>
    </w:rPr>
  </w:style>
  <w:style w:type="character" w:styleId="1196" w:customStyle="1">
    <w:name w:val="Title Char"/>
    <w:link w:val="1174"/>
    <w:uiPriority w:val="10"/>
    <w:qFormat/>
    <w:rPr>
      <w:sz w:val="48"/>
      <w:szCs w:val="48"/>
    </w:rPr>
  </w:style>
  <w:style w:type="character" w:styleId="1197" w:customStyle="1">
    <w:name w:val="Subtitle Char"/>
    <w:link w:val="1167"/>
    <w:uiPriority w:val="11"/>
    <w:qFormat/>
    <w:rPr>
      <w:sz w:val="24"/>
      <w:szCs w:val="24"/>
    </w:rPr>
  </w:style>
  <w:style w:type="paragraph" w:styleId="1198">
    <w:name w:val="Quote"/>
    <w:basedOn w:val="1137"/>
    <w:next w:val="1137"/>
    <w:link w:val="1199"/>
    <w:uiPriority w:val="29"/>
    <w:qFormat/>
    <w:pPr>
      <w:ind w:left="720" w:right="720"/>
    </w:pPr>
    <w:rPr>
      <w:i/>
    </w:rPr>
  </w:style>
  <w:style w:type="character" w:styleId="1199" w:customStyle="1">
    <w:name w:val="Quote Char"/>
    <w:link w:val="1198"/>
    <w:uiPriority w:val="29"/>
    <w:qFormat/>
    <w:rPr>
      <w:i/>
    </w:rPr>
  </w:style>
  <w:style w:type="paragraph" w:styleId="1200">
    <w:name w:val="Intense Quote"/>
    <w:basedOn w:val="1137"/>
    <w:next w:val="1137"/>
    <w:link w:val="12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1" w:customStyle="1">
    <w:name w:val="Intense Quote Char"/>
    <w:link w:val="1200"/>
    <w:uiPriority w:val="30"/>
    <w:qFormat/>
    <w:rPr>
      <w:i/>
    </w:rPr>
  </w:style>
  <w:style w:type="character" w:styleId="1202" w:customStyle="1">
    <w:name w:val="Header Char"/>
    <w:link w:val="1164"/>
    <w:uiPriority w:val="99"/>
    <w:qFormat/>
  </w:style>
  <w:style w:type="character" w:styleId="1203" w:customStyle="1">
    <w:name w:val="Footer Char"/>
    <w:link w:val="1162"/>
    <w:uiPriority w:val="99"/>
    <w:qFormat/>
  </w:style>
  <w:style w:type="character" w:styleId="1204" w:customStyle="1">
    <w:name w:val="Caption Char"/>
    <w:link w:val="1162"/>
    <w:uiPriority w:val="99"/>
    <w:qFormat/>
  </w:style>
  <w:style w:type="table" w:styleId="12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0" w:customStyle="1">
    <w:name w:val="Footnote Text Char"/>
    <w:link w:val="1168"/>
    <w:uiPriority w:val="99"/>
    <w:qFormat/>
    <w:rPr>
      <w:sz w:val="18"/>
    </w:rPr>
  </w:style>
  <w:style w:type="character" w:styleId="1331" w:customStyle="1">
    <w:name w:val="Endnote Text Char"/>
    <w:link w:val="1160"/>
    <w:uiPriority w:val="99"/>
    <w:qFormat/>
    <w:rPr>
      <w:sz w:val="20"/>
    </w:rPr>
  </w:style>
  <w:style w:type="paragraph" w:styleId="1332" w:customStyle="1">
    <w:name w:val="TOC Heading"/>
    <w:uiPriority w:val="39"/>
    <w:unhideWhenUsed/>
    <w:qFormat/>
    <w:rPr>
      <w:rFonts w:hint="default" w:ascii="Times New Roman" w:hAnsi="Times New Roman" w:eastAsia="宋体" w:cs="Times New Roman"/>
    </w:rPr>
  </w:style>
  <w:style w:type="character" w:styleId="1333" w:customStyle="1">
    <w:name w:val="默认段落字体11"/>
    <w:link w:val="1137"/>
    <w:uiPriority w:val="0"/>
    <w:semiHidden/>
    <w:qFormat/>
  </w:style>
  <w:style w:type="table" w:styleId="1334" w:customStyle="1">
    <w:name w:val="普通表格11"/>
    <w:uiPriority w:val="0"/>
    <w:semiHidden/>
    <w:qFormat/>
    <w:tblPr/>
  </w:style>
  <w:style w:type="paragraph" w:styleId="1335" w:customStyle="1">
    <w:name w:val="正文缩进1"/>
    <w:basedOn w:val="1137"/>
    <w:uiPriority w:val="0"/>
    <w:qFormat/>
    <w:pPr>
      <w:ind w:firstLine="420"/>
    </w:pPr>
    <w:rPr>
      <w:szCs w:val="21"/>
    </w:rPr>
  </w:style>
  <w:style w:type="paragraph" w:styleId="1336" w:customStyle="1">
    <w:name w:val="正文文本11"/>
    <w:basedOn w:val="1137"/>
    <w:next w:val="1337"/>
    <w:uiPriority w:val="0"/>
    <w:qFormat/>
    <w:pPr>
      <w:tabs>
        <w:tab w:val="left" w:pos="5250" w:leader="none"/>
      </w:tabs>
    </w:pPr>
    <w:rPr>
      <w:sz w:val="28"/>
    </w:rPr>
  </w:style>
  <w:style w:type="paragraph" w:styleId="1337" w:customStyle="1">
    <w:name w:val="正文首行缩进1"/>
    <w:basedOn w:val="1336"/>
    <w:next w:val="1137"/>
    <w:uiPriority w:val="0"/>
    <w:qFormat/>
    <w:pPr>
      <w:ind w:firstLine="420"/>
    </w:pPr>
  </w:style>
  <w:style w:type="paragraph" w:styleId="1338" w:customStyle="1">
    <w:name w:val="页脚11"/>
    <w:basedOn w:val="1137"/>
    <w:uiPriority w:val="99"/>
    <w:unhideWhenUsed/>
    <w:qFormat/>
    <w:pPr>
      <w:tabs>
        <w:tab w:val="center" w:pos="7143" w:leader="none"/>
        <w:tab w:val="right" w:pos="14287" w:leader="none"/>
      </w:tabs>
    </w:pPr>
  </w:style>
  <w:style w:type="paragraph" w:styleId="1339" w:customStyle="1">
    <w:name w:val="目录 11"/>
    <w:basedOn w:val="1137"/>
    <w:next w:val="1137"/>
    <w:uiPriority w:val="39"/>
    <w:unhideWhenUsed/>
    <w:qFormat/>
    <w:pPr>
      <w:spacing w:after="57"/>
    </w:pPr>
  </w:style>
  <w:style w:type="paragraph" w:styleId="1340" w:customStyle="1">
    <w:name w:val="目录 21"/>
    <w:basedOn w:val="1137"/>
    <w:next w:val="1137"/>
    <w:uiPriority w:val="39"/>
    <w:unhideWhenUsed/>
    <w:qFormat/>
    <w:pPr>
      <w:ind w:left="283"/>
      <w:spacing w:after="57"/>
    </w:pPr>
  </w:style>
  <w:style w:type="paragraph" w:styleId="1341" w:customStyle="1">
    <w:name w:val="普通(网站)1"/>
    <w:basedOn w:val="1137"/>
    <w:uiPriority w:val="0"/>
    <w:qFormat/>
    <w:pPr>
      <w:ind w:left="0" w:right="0"/>
      <w:jc w:val="left"/>
      <w:spacing w:before="100" w:beforeAutospacing="1" w:after="100" w:afterAutospacing="1"/>
    </w:pPr>
    <w:rPr>
      <w:sz w:val="24"/>
      <w:lang w:val="en-US" w:eastAsia="zh-CN" w:bidi="ar"/>
    </w:rPr>
  </w:style>
  <w:style w:type="character" w:styleId="1342" w:customStyle="1">
    <w:name w:val="强调1"/>
    <w:basedOn w:val="1333"/>
    <w:link w:val="1137"/>
    <w:uiPriority w:val="20"/>
    <w:qFormat/>
    <w:rPr>
      <w:i/>
    </w:rPr>
  </w:style>
  <w:style w:type="character" w:styleId="1343" w:customStyle="1">
    <w:name w:val="默认段落字体12"/>
    <w:link w:val="1137"/>
    <w:uiPriority w:val="1"/>
    <w:unhideWhenUsed/>
    <w:qFormat/>
  </w:style>
  <w:style w:type="paragraph" w:styleId="1344" w:customStyle="1">
    <w:name w:val="正文 A"/>
    <w:next w:val="1183"/>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345" w:customStyle="1">
    <w:name w:val="普通正文"/>
    <w:basedOn w:val="1137"/>
    <w:uiPriority w:val="0"/>
    <w:qFormat/>
    <w:pPr>
      <w:ind w:firstLine="480"/>
      <w:jc w:val="left"/>
      <w:spacing w:before="120" w:after="120" w:line="360" w:lineRule="auto"/>
    </w:pPr>
    <w:rPr>
      <w:rFonts w:ascii="Arial" w:hAnsi="Arial"/>
      <w:sz w:val="24"/>
    </w:rPr>
  </w:style>
  <w:style w:type="paragraph" w:styleId="1346" w:customStyle="1">
    <w:name w:val="正文文本1"/>
    <w:basedOn w:val="1137"/>
    <w:next w:val="1137"/>
    <w:uiPriority w:val="99"/>
    <w:qFormat/>
    <w:rPr>
      <w:rFonts w:ascii="楷体_GB2312" w:hAnsi="宋体" w:eastAsia="楷体_GB2312"/>
      <w:sz w:val="28"/>
      <w:szCs w:val="28"/>
    </w:rPr>
  </w:style>
  <w:style w:type="paragraph" w:styleId="1347" w:customStyle="1">
    <w:name w:val="标题11"/>
    <w:basedOn w:val="1137"/>
    <w:uiPriority w:val="0"/>
    <w:qFormat/>
    <w:pPr>
      <w:jc w:val="center"/>
      <w:spacing w:before="240" w:after="60"/>
      <w:outlineLvl w:val="0"/>
    </w:pPr>
    <w:rPr>
      <w:rFonts w:ascii="Arial" w:hAnsi="Arial" w:eastAsia="黑体"/>
      <w:b/>
      <w:bCs/>
      <w:sz w:val="44"/>
      <w:szCs w:val="32"/>
    </w:rPr>
  </w:style>
  <w:style w:type="table" w:styleId="1348" w:customStyle="1">
    <w:name w:val="网格型1"/>
    <w:basedOn w:val="1349"/>
    <w:uiPriority w:val="39"/>
    <w:qFormat/>
    <w:rPr>
      <w:rFonts w:ascii="Calibri" w:hAnsi="Calibri"/>
    </w:rPr>
    <w:tblPr/>
  </w:style>
  <w:style w:type="table" w:styleId="1349" w:customStyle="1">
    <w:name w:val="普通表格1"/>
    <w:uiPriority w:val="0"/>
    <w:semiHidden/>
    <w:qFormat/>
    <w:tblPr/>
  </w:style>
  <w:style w:type="paragraph" w:styleId="1350" w:customStyle="1">
    <w:name w:val="一级标题"/>
    <w:basedOn w:val="1137"/>
    <w:next w:val="1336"/>
    <w:uiPriority w:val="0"/>
    <w:qFormat/>
    <w:pPr>
      <w:outlineLvl w:val="0"/>
    </w:pPr>
    <w:rPr>
      <w:b/>
      <w:bCs/>
      <w:sz w:val="32"/>
    </w:rPr>
  </w:style>
  <w:style w:type="paragraph" w:styleId="1351"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352" w:customStyle="1">
    <w:name w:val="默认段落字体1"/>
    <w:link w:val="1137"/>
    <w:uiPriority w:val="1"/>
    <w:unhideWhenUsed/>
    <w:qFormat/>
    <w:rPr>
      <w:rFonts w:ascii="Calibri" w:hAnsi="Calibri" w:eastAsia="宋体" w:cs="Times New Roman"/>
      <w:sz w:val="21"/>
      <w:szCs w:val="22"/>
      <w:lang w:val="en-US" w:eastAsia="zh-CN" w:bidi="ar-SA"/>
    </w:rPr>
  </w:style>
  <w:style w:type="paragraph" w:styleId="135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54" w:customStyle="1">
    <w:name w:val="p0"/>
    <w:basedOn w:val="1137"/>
    <w:uiPriority w:val="99"/>
    <w:qFormat/>
    <w:pPr>
      <w:widowControl/>
    </w:pPr>
    <w:rPr>
      <w:rFonts w:cs="宋体"/>
      <w:szCs w:val="21"/>
    </w:rPr>
  </w:style>
  <w:style w:type="paragraph" w:styleId="135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0"/>
    <w:next w:val="136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66" w:customStyle="1">
    <w:name w:val="首行缩进_0"/>
    <w:basedOn w:val="1365"/>
    <w:uiPriority w:val="0"/>
    <w:qFormat/>
    <w:pPr>
      <w:ind w:firstLine="480"/>
      <w:jc w:val="left"/>
      <w:spacing w:line="360" w:lineRule="auto"/>
    </w:pPr>
    <w:rPr>
      <w:rFonts w:ascii="宋体" w:hAnsi="宋体"/>
      <w:sz w:val="24"/>
    </w:rPr>
  </w:style>
  <w:style w:type="paragraph" w:styleId="136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73" w:customStyle="1">
    <w:name w:val="TableOfAuthoring1"/>
    <w:basedOn w:val="1137"/>
    <w:next w:val="1137"/>
    <w:uiPriority w:val="0"/>
    <w:qFormat/>
    <w:pPr>
      <w:ind w:left="420"/>
    </w:pPr>
    <w:rPr>
      <w:rFonts w:ascii="Calibri" w:hAnsi="Calibri" w:eastAsia="楷体_GB2312"/>
      <w:szCs w:val="24"/>
    </w:rPr>
  </w:style>
  <w:style w:type="paragraph" w:styleId="137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96"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405" w:customStyle="1">
    <w:name w:val="正文_0_0"/>
    <w:next w:val="1406"/>
    <w:uiPriority w:val="0"/>
    <w:qFormat/>
    <w:pPr>
      <w:jc w:val="both"/>
      <w:widowControl w:val="off"/>
    </w:pPr>
    <w:rPr>
      <w:rFonts w:hint="default" w:ascii="Times New Roman" w:hAnsi="Times New Roman" w:eastAsia="宋体" w:cs="Times New Roman"/>
      <w:sz w:val="21"/>
      <w:lang w:val="en-US" w:eastAsia="zh-CN" w:bidi="ar-SA"/>
    </w:rPr>
  </w:style>
  <w:style w:type="paragraph" w:styleId="1406" w:customStyle="1">
    <w:name w:val="正文文本_0"/>
    <w:basedOn w:val="1405"/>
    <w:uiPriority w:val="0"/>
    <w:qFormat/>
    <w:pPr>
      <w:spacing w:line="400" w:lineRule="exact"/>
    </w:pPr>
    <w:rPr>
      <w:sz w:val="24"/>
    </w:rPr>
  </w:style>
  <w:style w:type="paragraph" w:styleId="1407"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409"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410"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411"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412"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413"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14"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15"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18" w:customStyle="1">
    <w:name w:val="页眉1"/>
    <w:basedOn w:val="1137"/>
    <w:uiPriority w:val="99"/>
    <w:qFormat/>
    <w:pPr>
      <w:jc w:val="center"/>
      <w:tabs>
        <w:tab w:val="center" w:pos="4153" w:leader="none"/>
        <w:tab w:val="right" w:pos="8306" w:leader="none"/>
      </w:tabs>
      <w:pBdr>
        <w:bottom w:val="single" w:color="000000" w:sz="6" w:space="1"/>
      </w:pBdr>
    </w:pPr>
    <w:rPr>
      <w:sz w:val="18"/>
      <w:szCs w:val="18"/>
    </w:rPr>
  </w:style>
  <w:style w:type="paragraph" w:styleId="1419" w:customStyle="1">
    <w:name w:val="页脚1"/>
    <w:basedOn w:val="1137"/>
    <w:uiPriority w:val="99"/>
    <w:qFormat/>
    <w:pPr>
      <w:jc w:val="left"/>
      <w:tabs>
        <w:tab w:val="center" w:pos="4153" w:leader="none"/>
        <w:tab w:val="right" w:pos="8306" w:leader="none"/>
      </w:tabs>
    </w:pPr>
    <w:rPr>
      <w:sz w:val="18"/>
      <w:szCs w:val="18"/>
    </w:rPr>
  </w:style>
  <w:style w:type="character" w:styleId="1420" w:customStyle="1">
    <w:name w:val="页码1"/>
    <w:link w:val="1137"/>
    <w:uiPriority w:val="0"/>
    <w:qFormat/>
  </w:style>
  <w:style w:type="character" w:styleId="1421" w:customStyle="1">
    <w:name w:val="fontstyle01"/>
    <w:link w:val="1137"/>
    <w:uiPriority w:val="0"/>
    <w:qFormat/>
    <w:rPr>
      <w:rFonts w:hint="eastAsia" w:ascii="宋体" w:hAnsi="宋体" w:eastAsia="宋体"/>
      <w:color w:val="000000"/>
      <w:sz w:val="24"/>
      <w:szCs w:val="24"/>
    </w:rPr>
  </w:style>
  <w:style w:type="character" w:styleId="1422" w:customStyle="1">
    <w:name w:val="font31"/>
    <w:basedOn w:val="1147"/>
    <w:uiPriority w:val="0"/>
    <w:qFormat/>
    <w:rPr>
      <w:rFonts w:hint="eastAsia" w:ascii="宋体" w:hAnsi="宋体" w:eastAsia="宋体" w:cs="宋体"/>
      <w:i/>
      <w:iCs/>
      <w:color w:val="c00000"/>
      <w:sz w:val="24"/>
      <w:szCs w:val="24"/>
      <w:u w:val="single"/>
    </w:rPr>
  </w:style>
  <w:style w:type="paragraph" w:styleId="1423" w:customStyle="1">
    <w:name w:val="Normal_16"/>
    <w:uiPriority w:val="0"/>
    <w:qFormat/>
    <w:rPr>
      <w:rFonts w:hint="default" w:ascii="Times New Roman" w:hAnsi="Times New Roman" w:eastAsia="Times New Roman" w:cs="Times New Roman"/>
      <w:sz w:val="24"/>
      <w:szCs w:val="24"/>
      <w:lang w:bidi="ar-SA"/>
    </w:rPr>
  </w:style>
  <w:style w:type="paragraph" w:styleId="1424" w:customStyle="1">
    <w:name w:val="Table Text"/>
    <w:basedOn w:val="1137"/>
    <w:uiPriority w:val="0"/>
    <w:semiHidden/>
    <w:qFormat/>
    <w:rPr>
      <w:rFonts w:ascii="宋体" w:hAnsi="宋体" w:eastAsia="宋体" w:cs="宋体"/>
      <w:sz w:val="24"/>
      <w:szCs w:val="24"/>
      <w:lang w:val="en-US" w:eastAsia="en-US" w:bidi="ar-SA"/>
    </w:rPr>
  </w:style>
  <w:style w:type="table" w:styleId="1425" w:customStyle="1">
    <w:name w:val="Table Normal"/>
    <w:uiPriority w:val="0"/>
    <w:semiHidden/>
    <w:unhideWhenUsed/>
    <w:qFormat/>
    <w:tblPr>
      <w:tblCellMar>
        <w:left w:w="0" w:type="dxa"/>
        <w:top w:w="0" w:type="dxa"/>
        <w:right w:w="0" w:type="dxa"/>
        <w:bottom w:w="0" w:type="dxa"/>
      </w:tblCellMar>
    </w:tblPr>
  </w:style>
  <w:style w:type="paragraph" w:styleId="142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427" w:customStyle="1">
    <w:name w:val="纯文本2"/>
    <w:basedOn w:val="1137"/>
    <w:uiPriority w:val="0"/>
    <w:qFormat/>
    <w:pPr>
      <w:ind w:firstLine="200"/>
      <w:spacing w:line="360" w:lineRule="auto"/>
    </w:pPr>
    <w:rPr>
      <w:rFonts w:ascii="宋体" w:hAnsi="Courier New"/>
      <w:sz w:val="20"/>
      <w:szCs w:val="20"/>
    </w:rPr>
  </w:style>
  <w:style w:type="paragraph" w:styleId="1428"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39"/>
    <w:uiPriority w:val="0"/>
    <w:qFormat/>
    <w:rPr>
      <w:rFonts w:hint="default" w:ascii="Times New Roman" w:hAnsi="Times New Roman" w:eastAsia="Times New Roman" w:cs="Times New Roman"/>
      <w:sz w:val="24"/>
      <w:szCs w:val="24"/>
      <w:lang w:val="en-US" w:eastAsia="zh-CN" w:bidi="ar-SA"/>
    </w:rPr>
  </w:style>
  <w:style w:type="numbering" w:styleId="14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footer" Target="footer1.xml" /><Relationship Id="rId26" Type="http://schemas.openxmlformats.org/officeDocument/2006/relationships/footer" Target="footer2.xml" /><Relationship Id="rId27" Type="http://schemas.openxmlformats.org/officeDocument/2006/relationships/footer" Target="footer3.xml" /><Relationship Id="rId28" Type="http://schemas.openxmlformats.org/officeDocument/2006/relationships/footer" Target="footer4.xml" /><Relationship Id="rId29" Type="http://schemas.openxmlformats.org/officeDocument/2006/relationships/footer" Target="footer5.xml" /><Relationship Id="rId30" Type="http://schemas.openxmlformats.org/officeDocument/2006/relationships/footer" Target="footer6.xml" /><Relationship Id="rId31" Type="http://schemas.openxmlformats.org/officeDocument/2006/relationships/footer" Target="footer7.xml" /><Relationship Id="rId32" Type="http://schemas.openxmlformats.org/officeDocument/2006/relationships/footer" Target="footer8.xml" /><Relationship Id="rId33" Type="http://schemas.openxmlformats.org/officeDocument/2006/relationships/footer" Target="footer9.xml" /><Relationship Id="rId34" Type="http://schemas.openxmlformats.org/officeDocument/2006/relationships/footer" Target="footer10.xml" /><Relationship Id="rId35" Type="http://schemas.openxmlformats.org/officeDocument/2006/relationships/footer" Target="footer11.xml" /><Relationship Id="rId36" Type="http://schemas.openxmlformats.org/officeDocument/2006/relationships/footer" Target="footer12.xml" /><Relationship Id="rId3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谢子越</cp:lastModifiedBy>
  <cp:revision>8</cp:revision>
  <dcterms:created xsi:type="dcterms:W3CDTF">2024-12-17T07:45:00Z</dcterms:created>
  <dcterms:modified xsi:type="dcterms:W3CDTF">2025-11-25T07:05:42Z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eyJoZGlkIjoiMWU0MmI1YWQxYmRiZDg0NzYyZGJiM2ZlM2VjN2EyZjYiLCJ1c2VySWQiOiIxNDQ0Njc2MzU2In0=</vt:lpwstr>
  </property>
  <property fmtid="{D5CDD505-2E9C-101B-9397-08002B2CF9AE}" pid="3" name="KSOProductBuildVer">
    <vt:lpwstr>2052-12.1.0.23542</vt:lpwstr>
  </property>
  <property fmtid="{D5CDD505-2E9C-101B-9397-08002B2CF9AE}" pid="4" name="ICV">
    <vt:lpwstr>D05654D5A1FD458884E2ED5F6468914A_13</vt:lpwstr>
  </property>
</Properties>
</file>